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4717" w:tblpY="-1416"/>
        <w:tblW w:w="7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24" w:space="0" w:color="FFFFFF" w:themeColor="background1"/>
        </w:tblBorders>
        <w:shd w:val="clear" w:color="auto" w:fill="76B6D9"/>
        <w:tblLayout w:type="fixed"/>
        <w:tblLook w:val="04A0" w:firstRow="1" w:lastRow="0" w:firstColumn="1" w:lastColumn="0" w:noHBand="0" w:noVBand="1"/>
      </w:tblPr>
      <w:tblGrid>
        <w:gridCol w:w="1809"/>
        <w:gridCol w:w="5283"/>
      </w:tblGrid>
      <w:tr w:rsidR="009E493A" w:rsidTr="009E493A">
        <w:trPr>
          <w:trHeight w:val="711"/>
        </w:trPr>
        <w:tc>
          <w:tcPr>
            <w:tcW w:w="1809" w:type="dxa"/>
            <w:shd w:val="clear" w:color="auto" w:fill="76B6D9"/>
          </w:tcPr>
          <w:p w:rsidR="009E493A" w:rsidRDefault="009E493A" w:rsidP="009E493A">
            <w:pPr>
              <w:tabs>
                <w:tab w:val="center" w:pos="5244"/>
                <w:tab w:val="left" w:pos="9214"/>
              </w:tabs>
              <w:ind w:left="851" w:right="1132"/>
            </w:pPr>
          </w:p>
        </w:tc>
        <w:tc>
          <w:tcPr>
            <w:tcW w:w="5283" w:type="dxa"/>
            <w:shd w:val="clear" w:color="auto" w:fill="76B6D9"/>
          </w:tcPr>
          <w:p w:rsidR="009E493A" w:rsidRDefault="006B64C9" w:rsidP="009E493A">
            <w:pPr>
              <w:tabs>
                <w:tab w:val="center" w:pos="5244"/>
                <w:tab w:val="left" w:pos="9214"/>
              </w:tabs>
              <w:ind w:right="1132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676BD5D" wp14:editId="644B656F">
                      <wp:simplePos x="0" y="0"/>
                      <wp:positionH relativeFrom="column">
                        <wp:posOffset>-1211580</wp:posOffset>
                      </wp:positionH>
                      <wp:positionV relativeFrom="paragraph">
                        <wp:posOffset>419100</wp:posOffset>
                      </wp:positionV>
                      <wp:extent cx="4624705" cy="1228725"/>
                      <wp:effectExtent l="0" t="0" r="4445" b="9525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470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93A" w:rsidRDefault="009E493A" w:rsidP="009E49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E5135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5E5135">
                                    <w:rPr>
                                      <w:rFonts w:asciiTheme="minorHAnsi" w:hAnsiTheme="minorHAnsi" w:cstheme="minorHAnsi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OD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È</w:t>
                                  </w:r>
                                  <w:r w:rsidRPr="005E5135">
                                    <w:rPr>
                                      <w:rFonts w:asciiTheme="minorHAnsi" w:hAnsiTheme="minorHAnsi" w:cstheme="minorHAnsi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9E493A" w:rsidRDefault="009E493A" w:rsidP="009E49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E5135">
                                    <w:rPr>
                                      <w:rFonts w:asciiTheme="minorHAnsi" w:hAnsiTheme="minorHAnsi" w:cstheme="minorHAnsi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LIGNES DIRECTRICES DE GESTION </w:t>
                                  </w:r>
                                  <w:r w:rsidR="000614DE">
                                    <w:rPr>
                                      <w:rFonts w:asciiTheme="minorHAnsi" w:hAnsiTheme="minorHAnsi" w:cstheme="minorHAnsi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(LDG)</w:t>
                                  </w:r>
                                </w:p>
                                <w:p w:rsidR="009E493A" w:rsidRPr="00E84DEB" w:rsidRDefault="002A7ABE" w:rsidP="009E49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206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84DEB">
                                    <w:rPr>
                                      <w:rFonts w:asciiTheme="minorHAnsi" w:hAnsiTheme="minorHAnsi" w:cstheme="minorHAnsi"/>
                                      <w:b/>
                                      <w:color w:val="002060"/>
                                      <w:sz w:val="28"/>
                                      <w:szCs w:val="28"/>
                                      <w:u w:val="single"/>
                                    </w:rPr>
                                    <w:t>Promotion et valorisation des parcours professionnels</w:t>
                                  </w:r>
                                </w:p>
                                <w:p w:rsidR="009E493A" w:rsidRPr="009E493A" w:rsidRDefault="002619B6" w:rsidP="009E49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2060"/>
                                      <w:sz w:val="28"/>
                                      <w:szCs w:val="28"/>
                                    </w:rPr>
                                    <w:t>………………………………………………………………………………………………                  (</w:t>
                                  </w:r>
                                  <w:r w:rsidR="009E493A" w:rsidRPr="00F13574">
                                    <w:rPr>
                                      <w:rFonts w:asciiTheme="minorHAnsi" w:hAnsiTheme="minorHAnsi" w:cstheme="minorHAnsi"/>
                                      <w:color w:val="002060"/>
                                      <w:sz w:val="28"/>
                                      <w:szCs w:val="28"/>
                                    </w:rPr>
                                    <w:t>Nom de la collectivité</w:t>
                                  </w:r>
                                  <w:r w:rsidR="00E75B33">
                                    <w:rPr>
                                      <w:rFonts w:asciiTheme="minorHAnsi" w:hAnsiTheme="minorHAnsi" w:cstheme="min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ou de l’établissement</w:t>
                                  </w:r>
                                  <w:r w:rsidR="00370DEC">
                                    <w:rPr>
                                      <w:rFonts w:asciiTheme="minorHAnsi" w:hAnsiTheme="minorHAnsi" w:cstheme="min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public</w:t>
                                  </w:r>
                                  <w:r w:rsidR="009E493A" w:rsidRPr="002619B6">
                                    <w:rPr>
                                      <w:rFonts w:asciiTheme="minorHAnsi" w:hAnsiTheme="minorHAnsi" w:cstheme="minorHAnsi"/>
                                      <w:color w:val="00206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6BD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" o:spid="_x0000_s1026" type="#_x0000_t202" style="position:absolute;margin-left:-95.4pt;margin-top:33pt;width:364.15pt;height:96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" fillcolor="#f2f2f2 [3052]" stroked="f" strokeweight=".5pt">
                      <v:textbox>
                        <w:txbxContent>
                          <w:p w:rsidR="009E493A" w:rsidRDefault="009E493A" w:rsidP="009E493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E5135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</w:t>
                            </w:r>
                            <w:r w:rsidRPr="005E5135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È</w:t>
                            </w:r>
                            <w:r w:rsidRPr="005E5135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E493A" w:rsidRDefault="009E493A" w:rsidP="009E493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E5135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LIGNES DIRECTRICES DE GESTION </w:t>
                            </w:r>
                            <w:r w:rsidR="000614DE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(LDG)</w:t>
                            </w:r>
                          </w:p>
                          <w:p w:rsidR="009E493A" w:rsidRPr="00E84DEB" w:rsidRDefault="002A7ABE" w:rsidP="009E493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4DEB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Promotion et valorisation des parcours professionnels</w:t>
                            </w:r>
                          </w:p>
                          <w:p w:rsidR="009E493A" w:rsidRPr="009E493A" w:rsidRDefault="002619B6" w:rsidP="009E493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                  (</w:t>
                            </w:r>
                            <w:r w:rsidR="009E493A" w:rsidRPr="00F13574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>Nom de la collectivité</w:t>
                            </w:r>
                            <w:r w:rsidR="00E75B33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ou de l’établissement</w:t>
                            </w:r>
                            <w:r w:rsidR="00370DEC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public</w:t>
                            </w:r>
                            <w:r w:rsidR="009E493A" w:rsidRPr="002619B6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C094550" wp14:editId="0AB4FDDC">
                      <wp:simplePos x="0" y="0"/>
                      <wp:positionH relativeFrom="column">
                        <wp:posOffset>2338433</wp:posOffset>
                      </wp:positionH>
                      <wp:positionV relativeFrom="paragraph">
                        <wp:posOffset>-88628</wp:posOffset>
                      </wp:positionV>
                      <wp:extent cx="1014730" cy="11424285"/>
                      <wp:effectExtent l="0" t="0" r="0" b="5715"/>
                      <wp:wrapNone/>
                      <wp:docPr id="13" name="Forme libr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4730" cy="11424285"/>
                              </a:xfrm>
                              <a:custGeom>
                                <a:avLst/>
                                <a:gdLst>
                                  <a:gd name="T0" fmla="*/ 502 w 502"/>
                                  <a:gd name="T1" fmla="*/ 0 h 3168"/>
                                  <a:gd name="T2" fmla="*/ 93 w 502"/>
                                  <a:gd name="T3" fmla="*/ 0 h 3168"/>
                                  <a:gd name="T4" fmla="*/ 0 w 502"/>
                                  <a:gd name="T5" fmla="*/ 3168 h 3168"/>
                                  <a:gd name="T6" fmla="*/ 502 w 502"/>
                                  <a:gd name="T7" fmla="*/ 3168 h 3168"/>
                                  <a:gd name="T8" fmla="*/ 502 w 502"/>
                                  <a:gd name="T9" fmla="*/ 0 h 3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2" h="3168">
                                    <a:moveTo>
                                      <a:pt x="502" y="0"/>
                                    </a:move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146" y="383"/>
                                      <a:pt x="323" y="1900"/>
                                      <a:pt x="0" y="3168"/>
                                    </a:cubicBezTo>
                                    <a:cubicBezTo>
                                      <a:pt x="502" y="3168"/>
                                      <a:pt x="502" y="3168"/>
                                      <a:pt x="502" y="3168"/>
                                    </a:cubicBezTo>
                                    <a:lnTo>
                                      <a:pt x="5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E2F0"/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2D713" id="Forme libre 7" o:spid="_x0000_s1026" style="position:absolute;margin-left:184.15pt;margin-top:-7pt;width:79.9pt;height:899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" path="m502,c93,,93,,93,,146,383,323,1900,,3168v502,,502,,502,l502,xe" fillcolor="#c8e2f0" stroked="f">
                      <v:path arrowok="t" o:connecttype="custom" o:connectlocs="1014730,0;187988,0;0,11424285;1014730,11424285;1014730,0" o:connectangles="0,0,0,0,0"/>
                    </v:shape>
                  </w:pict>
                </mc:Fallback>
              </mc:AlternateContent>
            </w:r>
          </w:p>
        </w:tc>
      </w:tr>
    </w:tbl>
    <w:p w:rsidR="00177544" w:rsidRDefault="00177544" w:rsidP="00590184">
      <w:pPr>
        <w:ind w:right="284"/>
        <w:jc w:val="center"/>
        <w:rPr>
          <w:b/>
        </w:rPr>
      </w:pPr>
      <w:r w:rsidRPr="0017754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editId="36B11C9B">
                <wp:simplePos x="0" y="0"/>
                <wp:positionH relativeFrom="column">
                  <wp:posOffset>-464820</wp:posOffset>
                </wp:positionH>
                <wp:positionV relativeFrom="paragraph">
                  <wp:posOffset>-521970</wp:posOffset>
                </wp:positionV>
                <wp:extent cx="1543050" cy="12192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F62" w:rsidRDefault="00757F62">
                            <w:pPr>
                              <w:rPr>
                                <w:i/>
                                <w:color w:val="1F497D" w:themeColor="text2"/>
                              </w:rPr>
                            </w:pPr>
                          </w:p>
                          <w:p w:rsidR="00757F62" w:rsidRPr="00177544" w:rsidRDefault="00757F62">
                            <w:pPr>
                              <w:rPr>
                                <w:i/>
                                <w:color w:val="1F497D" w:themeColor="text2"/>
                              </w:rPr>
                            </w:pPr>
                            <w:r w:rsidRPr="00177544">
                              <w:rPr>
                                <w:i/>
                                <w:color w:val="1F497D" w:themeColor="text2"/>
                              </w:rPr>
                              <w:t>Logo de la collectivité</w:t>
                            </w:r>
                          </w:p>
                          <w:p w:rsidR="00757F62" w:rsidRDefault="00757F62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36.6pt;margin-top:-41.1pt;width:121.5pt;height:9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">
                <v:textbox>
                  <w:txbxContent>
                    <w:p w:rsidR="00757F62" w:rsidRDefault="00757F62">
                      <w:pPr>
                        <w:rPr>
                          <w:i/>
                          <w:color w:val="1F497D" w:themeColor="text2"/>
                        </w:rPr>
                      </w:pPr>
                    </w:p>
                    <w:p w:rsidR="00757F62" w:rsidRPr="00177544" w:rsidRDefault="00757F62">
                      <w:pPr>
                        <w:rPr>
                          <w:i/>
                          <w:color w:val="1F497D" w:themeColor="text2"/>
                        </w:rPr>
                      </w:pPr>
                      <w:r w:rsidRPr="00177544">
                        <w:rPr>
                          <w:i/>
                          <w:color w:val="1F497D" w:themeColor="text2"/>
                        </w:rPr>
                        <w:t>Logo de la collectivité</w:t>
                      </w:r>
                    </w:p>
                    <w:p w:rsidR="00757F62" w:rsidRDefault="00757F62"/>
                  </w:txbxContent>
                </v:textbox>
              </v:shape>
            </w:pict>
          </mc:Fallback>
        </mc:AlternateContent>
      </w:r>
    </w:p>
    <w:p w:rsidR="00177544" w:rsidRDefault="00177544" w:rsidP="003C1F85">
      <w:pPr>
        <w:jc w:val="center"/>
        <w:rPr>
          <w:b/>
        </w:rPr>
      </w:pPr>
    </w:p>
    <w:p w:rsidR="00122B00" w:rsidRDefault="00122B00" w:rsidP="000614DE">
      <w:pPr>
        <w:suppressAutoHyphens w:val="0"/>
        <w:spacing w:after="0" w:line="240" w:lineRule="auto"/>
        <w:ind w:righ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22B00" w:rsidRDefault="00122B00" w:rsidP="000614DE">
      <w:pPr>
        <w:suppressAutoHyphens w:val="0"/>
        <w:spacing w:after="0" w:line="240" w:lineRule="auto"/>
        <w:ind w:righ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C278E" w:rsidRPr="00C200B6" w:rsidRDefault="005C278E" w:rsidP="000614DE">
      <w:pPr>
        <w:suppressAutoHyphens w:val="0"/>
        <w:spacing w:after="0" w:line="240" w:lineRule="auto"/>
        <w:ind w:righ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200B6">
        <w:rPr>
          <w:rFonts w:asciiTheme="minorHAnsi" w:hAnsiTheme="minorHAnsi" w:cstheme="minorHAnsi"/>
          <w:sz w:val="22"/>
          <w:szCs w:val="22"/>
          <w:lang w:eastAsia="en-US"/>
        </w:rPr>
        <w:t>L’une des innovations de l</w:t>
      </w:r>
      <w:r w:rsidR="00A42CCC" w:rsidRPr="00C200B6">
        <w:rPr>
          <w:rFonts w:asciiTheme="minorHAnsi" w:hAnsiTheme="minorHAnsi" w:cstheme="minorHAnsi"/>
          <w:sz w:val="22"/>
          <w:szCs w:val="22"/>
          <w:lang w:eastAsia="en-US"/>
        </w:rPr>
        <w:t xml:space="preserve">a </w:t>
      </w:r>
      <w:r w:rsidRPr="00C200B6">
        <w:rPr>
          <w:rFonts w:asciiTheme="minorHAnsi" w:hAnsiTheme="minorHAnsi" w:cstheme="minorHAnsi"/>
          <w:sz w:val="22"/>
          <w:szCs w:val="22"/>
          <w:lang w:eastAsia="en-US"/>
        </w:rPr>
        <w:t>loi n°2</w:t>
      </w:r>
      <w:r w:rsidR="002619B6">
        <w:rPr>
          <w:rFonts w:asciiTheme="minorHAnsi" w:hAnsiTheme="minorHAnsi" w:cstheme="minorHAnsi"/>
          <w:sz w:val="22"/>
          <w:szCs w:val="22"/>
          <w:lang w:eastAsia="en-US"/>
        </w:rPr>
        <w:t>019-828 du 6 août 2019 dite de T</w:t>
      </w:r>
      <w:r w:rsidRPr="00C200B6">
        <w:rPr>
          <w:rFonts w:asciiTheme="minorHAnsi" w:hAnsiTheme="minorHAnsi" w:cstheme="minorHAnsi"/>
          <w:sz w:val="22"/>
          <w:szCs w:val="22"/>
          <w:lang w:eastAsia="en-US"/>
        </w:rPr>
        <w:t>ransformation de la Fonction Publique consiste en l’obligation pour toutes les collectivités territoriales de définir des Lignes Directrices de Gestion (LDG).</w:t>
      </w:r>
    </w:p>
    <w:p w:rsidR="005C278E" w:rsidRPr="00C200B6" w:rsidRDefault="005C278E" w:rsidP="000614DE">
      <w:pPr>
        <w:suppressAutoHyphens w:val="0"/>
        <w:spacing w:after="0" w:line="240" w:lineRule="auto"/>
        <w:ind w:righ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C278E" w:rsidRPr="00590184" w:rsidRDefault="005C278E" w:rsidP="000614DE">
      <w:pPr>
        <w:suppressAutoHyphens w:val="0"/>
        <w:spacing w:after="0" w:line="24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590184">
        <w:rPr>
          <w:rFonts w:asciiTheme="minorHAnsi" w:hAnsiTheme="minorHAnsi" w:cstheme="minorHAnsi"/>
          <w:bCs/>
          <w:sz w:val="22"/>
          <w:szCs w:val="22"/>
          <w:lang w:eastAsia="en-US"/>
        </w:rPr>
        <w:t>Les LDG définissent les enjeux et les objectifs de la politique de ressources humaines à conduire au sein de chaque collectivit</w:t>
      </w:r>
      <w:r w:rsidR="000614DE" w:rsidRPr="00590184">
        <w:rPr>
          <w:rFonts w:asciiTheme="minorHAnsi" w:hAnsiTheme="minorHAnsi" w:cstheme="minorHAnsi"/>
          <w:bCs/>
          <w:sz w:val="22"/>
          <w:szCs w:val="22"/>
          <w:lang w:eastAsia="en-US"/>
        </w:rPr>
        <w:t>é territoriale et établissement et portent également sur la carrière des agents. Elles doivent tenir</w:t>
      </w:r>
      <w:r w:rsidRPr="005901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compte des politiques publiques mises en œuvre</w:t>
      </w:r>
      <w:r w:rsidR="000614DE" w:rsidRPr="00590184">
        <w:rPr>
          <w:rFonts w:asciiTheme="minorHAnsi" w:hAnsiTheme="minorHAnsi" w:cstheme="minorHAnsi"/>
          <w:bCs/>
          <w:sz w:val="22"/>
          <w:szCs w:val="22"/>
          <w:lang w:eastAsia="en-US"/>
        </w:rPr>
        <w:t>,</w:t>
      </w:r>
      <w:r w:rsidRPr="005901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de la situation des effectifs, des métiers et des compétences.</w:t>
      </w:r>
    </w:p>
    <w:p w:rsidR="005C278E" w:rsidRPr="00C200B6" w:rsidRDefault="005C278E" w:rsidP="000614DE">
      <w:pPr>
        <w:suppressAutoHyphens w:val="0"/>
        <w:spacing w:after="0" w:line="240" w:lineRule="auto"/>
        <w:ind w:righ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C278E" w:rsidRPr="00C200B6" w:rsidRDefault="00A42CCC" w:rsidP="008E4537">
      <w:pPr>
        <w:shd w:val="clear" w:color="auto" w:fill="FFFFFF" w:themeFill="background1"/>
        <w:suppressAutoHyphens w:val="0"/>
        <w:spacing w:after="0" w:line="240" w:lineRule="auto"/>
        <w:ind w:right="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E453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L’autorité territoriale conserve un pouvoir d'appréciation </w:t>
      </w:r>
      <w:r w:rsidR="00C200B6" w:rsidRPr="008E453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finale </w:t>
      </w:r>
      <w:r w:rsidRPr="008E4537">
        <w:rPr>
          <w:rFonts w:asciiTheme="minorHAnsi" w:hAnsiTheme="minorHAnsi" w:cstheme="minorHAnsi"/>
          <w:sz w:val="22"/>
          <w:szCs w:val="22"/>
          <w:shd w:val="clear" w:color="auto" w:fill="FFFFFF"/>
        </w:rPr>
        <w:t>en fonction des situations individuelles, des besoins du service ou de tout autre motif d'intérêt général.</w:t>
      </w:r>
    </w:p>
    <w:p w:rsidR="00A42CCC" w:rsidRPr="002A7ABE" w:rsidRDefault="00A42CCC" w:rsidP="005C278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</w:p>
    <w:p w:rsidR="00370DEC" w:rsidRDefault="005C278E" w:rsidP="00C200B6">
      <w:pPr>
        <w:suppressAutoHyphens w:val="0"/>
        <w:spacing w:after="0" w:line="24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90184">
        <w:rPr>
          <w:rFonts w:asciiTheme="minorHAnsi" w:hAnsiTheme="minorHAnsi" w:cstheme="minorHAnsi"/>
          <w:b/>
          <w:sz w:val="22"/>
          <w:szCs w:val="22"/>
          <w:lang w:eastAsia="en-US"/>
        </w:rPr>
        <w:t>Les LDG doivent s’adapter à la taille de la collectivité ou de l’établissement</w:t>
      </w:r>
      <w:r w:rsidR="00370DE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public</w:t>
      </w:r>
      <w:r w:rsidRPr="00590184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:rsidR="005C278E" w:rsidRPr="00590184" w:rsidRDefault="005C278E" w:rsidP="00C200B6">
      <w:pPr>
        <w:suppressAutoHyphens w:val="0"/>
        <w:spacing w:after="0" w:line="24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9018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Il est donc primordial pour les collectivités de la strate </w:t>
      </w:r>
      <w:r w:rsidR="002619B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de </w:t>
      </w:r>
      <w:r w:rsidRPr="0059018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1 à 50 agents de </w:t>
      </w:r>
      <w:r w:rsidR="002619B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prioriser </w:t>
      </w:r>
      <w:r w:rsidRPr="0059018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leur action sur les thématiques qui </w:t>
      </w:r>
      <w:r w:rsidR="00C200B6" w:rsidRPr="0059018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les </w:t>
      </w:r>
      <w:r w:rsidRPr="00590184">
        <w:rPr>
          <w:rFonts w:asciiTheme="minorHAnsi" w:hAnsiTheme="minorHAnsi" w:cstheme="minorHAnsi"/>
          <w:b/>
          <w:sz w:val="22"/>
          <w:szCs w:val="22"/>
          <w:lang w:eastAsia="en-US"/>
        </w:rPr>
        <w:t>touchent directement et quotidiennement</w:t>
      </w:r>
      <w:r w:rsidR="000614DE" w:rsidRPr="0059018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. Toutes les collectivités sont concernées mais doivent </w:t>
      </w:r>
      <w:r w:rsidR="00C200B6" w:rsidRPr="00590184">
        <w:rPr>
          <w:rFonts w:asciiTheme="minorHAnsi" w:hAnsiTheme="minorHAnsi" w:cstheme="minorHAnsi"/>
          <w:b/>
          <w:sz w:val="22"/>
          <w:szCs w:val="22"/>
          <w:lang w:eastAsia="en-US"/>
        </w:rPr>
        <w:t>adapter</w:t>
      </w:r>
      <w:r w:rsidR="000614DE" w:rsidRPr="0059018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leur LDG aux moyens dont elles disposent.</w:t>
      </w:r>
    </w:p>
    <w:p w:rsidR="005C278E" w:rsidRPr="00590184" w:rsidRDefault="005C278E" w:rsidP="00C200B6">
      <w:pPr>
        <w:suppressAutoHyphens w:val="0"/>
        <w:spacing w:after="0" w:line="24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</w:pPr>
    </w:p>
    <w:p w:rsidR="00C200B6" w:rsidRPr="006B64C9" w:rsidRDefault="00590184" w:rsidP="00C200B6">
      <w:pPr>
        <w:suppressAutoHyphens w:val="0"/>
        <w:spacing w:after="0" w:line="24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B64C9">
        <w:rPr>
          <w:rFonts w:asciiTheme="minorHAnsi" w:hAnsiTheme="minorHAnsi" w:cstheme="minorHAnsi"/>
          <w:b/>
          <w:sz w:val="22"/>
          <w:szCs w:val="22"/>
          <w:lang w:eastAsia="en-US"/>
        </w:rPr>
        <w:t>Aussi, c</w:t>
      </w:r>
      <w:r w:rsidR="00E7425A">
        <w:rPr>
          <w:rFonts w:asciiTheme="minorHAnsi" w:hAnsiTheme="minorHAnsi" w:cstheme="minorHAnsi"/>
          <w:b/>
          <w:sz w:val="22"/>
          <w:szCs w:val="22"/>
          <w:lang w:eastAsia="en-US"/>
        </w:rPr>
        <w:t>e modèle</w:t>
      </w:r>
      <w:r w:rsidR="00C200B6" w:rsidRPr="006B64C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de LDG, </w:t>
      </w:r>
      <w:r w:rsidRPr="006B64C9">
        <w:rPr>
          <w:rFonts w:asciiTheme="minorHAnsi" w:hAnsiTheme="minorHAnsi" w:cstheme="minorHAnsi"/>
          <w:b/>
          <w:sz w:val="22"/>
          <w:szCs w:val="22"/>
          <w:lang w:eastAsia="en-US"/>
        </w:rPr>
        <w:t>élaboré</w:t>
      </w:r>
      <w:r w:rsidR="00C200B6" w:rsidRPr="006B64C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pour les c</w:t>
      </w:r>
      <w:r w:rsidR="002619B6">
        <w:rPr>
          <w:rFonts w:asciiTheme="minorHAnsi" w:hAnsiTheme="minorHAnsi" w:cstheme="minorHAnsi"/>
          <w:b/>
          <w:sz w:val="22"/>
          <w:szCs w:val="22"/>
          <w:lang w:eastAsia="en-US"/>
        </w:rPr>
        <w:t>ollectivités à faible effectif</w:t>
      </w:r>
      <w:r w:rsidR="008336B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par exemple</w:t>
      </w:r>
      <w:r w:rsidR="002619B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traite du </w:t>
      </w:r>
      <w:r w:rsidR="00C200B6" w:rsidRPr="006B64C9">
        <w:rPr>
          <w:rFonts w:asciiTheme="minorHAnsi" w:hAnsiTheme="minorHAnsi" w:cstheme="minorHAnsi"/>
          <w:b/>
          <w:sz w:val="22"/>
          <w:szCs w:val="22"/>
          <w:lang w:eastAsia="en-US"/>
        </w:rPr>
        <w:t>volet des LDG relatif à la promotion et la valorisation des parcours professionnels.</w:t>
      </w:r>
    </w:p>
    <w:p w:rsidR="00C200B6" w:rsidRPr="006B64C9" w:rsidRDefault="00C200B6" w:rsidP="00C200B6">
      <w:pPr>
        <w:suppressAutoHyphens w:val="0"/>
        <w:spacing w:after="0" w:line="24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90184" w:rsidRPr="006B64C9" w:rsidRDefault="00590184" w:rsidP="00590184">
      <w:pPr>
        <w:spacing w:after="0" w:line="240" w:lineRule="auto"/>
        <w:ind w:right="284"/>
        <w:rPr>
          <w:rFonts w:asciiTheme="minorHAnsi" w:hAnsiTheme="minorHAnsi" w:cstheme="minorHAnsi"/>
          <w:sz w:val="22"/>
          <w:szCs w:val="22"/>
        </w:rPr>
      </w:pPr>
      <w:r w:rsidRPr="006B64C9">
        <w:rPr>
          <w:rFonts w:asciiTheme="minorHAnsi" w:hAnsiTheme="minorHAnsi" w:cstheme="minorHAnsi"/>
          <w:sz w:val="22"/>
          <w:szCs w:val="22"/>
        </w:rPr>
        <w:t>Ainsi, les LDG fixent en matière de promotion et de valorisation des parcours :</w:t>
      </w:r>
    </w:p>
    <w:p w:rsidR="00590184" w:rsidRPr="006B64C9" w:rsidRDefault="00590184" w:rsidP="00590184">
      <w:pPr>
        <w:spacing w:after="0" w:line="240" w:lineRule="auto"/>
        <w:ind w:right="284" w:firstLine="357"/>
        <w:rPr>
          <w:rFonts w:asciiTheme="minorHAnsi" w:hAnsiTheme="minorHAnsi" w:cstheme="minorHAnsi"/>
          <w:sz w:val="10"/>
          <w:szCs w:val="10"/>
          <w:lang w:eastAsia="en-US"/>
        </w:rPr>
      </w:pPr>
    </w:p>
    <w:p w:rsidR="00590184" w:rsidRPr="006B64C9" w:rsidRDefault="002619B6" w:rsidP="00590184">
      <w:pPr>
        <w:pStyle w:val="Paragraphedeliste"/>
        <w:numPr>
          <w:ilvl w:val="0"/>
          <w:numId w:val="21"/>
        </w:numPr>
        <w:suppressAutoHyphens w:val="0"/>
        <w:autoSpaceDN w:val="0"/>
        <w:spacing w:after="0" w:line="240" w:lineRule="auto"/>
        <w:ind w:right="284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</w:t>
      </w:r>
      <w:r w:rsidR="00590184" w:rsidRPr="006B64C9">
        <w:rPr>
          <w:rFonts w:asciiTheme="minorHAnsi" w:hAnsiTheme="minorHAnsi" w:cstheme="minorHAnsi"/>
          <w:sz w:val="22"/>
        </w:rPr>
        <w:t>es orientations et critères généraux à prendre en compte pour les promotions au choix dans</w:t>
      </w:r>
      <w:r>
        <w:rPr>
          <w:rFonts w:asciiTheme="minorHAnsi" w:hAnsiTheme="minorHAnsi" w:cstheme="minorHAnsi"/>
          <w:sz w:val="22"/>
        </w:rPr>
        <w:t xml:space="preserve"> les grades et cadres d’emplois (avancement de grade…)</w:t>
      </w:r>
    </w:p>
    <w:p w:rsidR="00590184" w:rsidRPr="006B64C9" w:rsidRDefault="002619B6" w:rsidP="00590184">
      <w:pPr>
        <w:pStyle w:val="Paragraphedeliste"/>
        <w:numPr>
          <w:ilvl w:val="0"/>
          <w:numId w:val="21"/>
        </w:numPr>
        <w:suppressAutoHyphens w:val="0"/>
        <w:autoSpaceDN w:val="0"/>
        <w:spacing w:after="0" w:line="240" w:lineRule="auto"/>
        <w:ind w:right="284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</w:t>
      </w:r>
      <w:r w:rsidR="00590184" w:rsidRPr="006B64C9">
        <w:rPr>
          <w:rFonts w:asciiTheme="minorHAnsi" w:hAnsiTheme="minorHAnsi" w:cstheme="minorHAnsi"/>
          <w:sz w:val="22"/>
        </w:rPr>
        <w:t>es mesures favorisant l’évolution professionnelle des agents et leur accès à des responsabilités supérieures.</w:t>
      </w:r>
    </w:p>
    <w:p w:rsidR="00590184" w:rsidRPr="006B64C9" w:rsidRDefault="00590184" w:rsidP="00590184">
      <w:pPr>
        <w:spacing w:after="0" w:line="240" w:lineRule="auto"/>
        <w:ind w:right="284"/>
        <w:jc w:val="both"/>
        <w:rPr>
          <w:rFonts w:asciiTheme="minorHAnsi" w:hAnsiTheme="minorHAnsi" w:cstheme="minorHAnsi"/>
          <w:sz w:val="16"/>
          <w:szCs w:val="16"/>
          <w:lang w:eastAsia="en-US"/>
        </w:rPr>
      </w:pPr>
    </w:p>
    <w:p w:rsidR="00590184" w:rsidRPr="006B64C9" w:rsidRDefault="00590184" w:rsidP="00590184">
      <w:pPr>
        <w:spacing w:after="0" w:line="24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B64C9">
        <w:rPr>
          <w:rFonts w:asciiTheme="minorHAnsi" w:hAnsiTheme="minorHAnsi" w:cstheme="minorHAnsi"/>
          <w:sz w:val="22"/>
          <w:szCs w:val="22"/>
        </w:rPr>
        <w:t xml:space="preserve">Il s’agit pour la collectivité </w:t>
      </w:r>
      <w:r w:rsidR="002619B6">
        <w:rPr>
          <w:rFonts w:asciiTheme="minorHAnsi" w:hAnsiTheme="minorHAnsi" w:cstheme="minorHAnsi"/>
          <w:sz w:val="22"/>
          <w:szCs w:val="22"/>
        </w:rPr>
        <w:t>d’arrêter</w:t>
      </w:r>
      <w:r w:rsidRPr="006B64C9">
        <w:rPr>
          <w:rFonts w:asciiTheme="minorHAnsi" w:hAnsiTheme="minorHAnsi" w:cstheme="minorHAnsi"/>
          <w:sz w:val="22"/>
          <w:szCs w:val="22"/>
        </w:rPr>
        <w:t> :</w:t>
      </w:r>
    </w:p>
    <w:p w:rsidR="00590184" w:rsidRPr="006B64C9" w:rsidRDefault="00590184" w:rsidP="00590184">
      <w:pPr>
        <w:pStyle w:val="Paragraphedeliste"/>
        <w:numPr>
          <w:ilvl w:val="0"/>
          <w:numId w:val="17"/>
        </w:numPr>
        <w:suppressAutoHyphens w:val="0"/>
        <w:autoSpaceDN w:val="0"/>
        <w:spacing w:after="0" w:line="240" w:lineRule="auto"/>
        <w:ind w:right="284"/>
        <w:contextualSpacing/>
        <w:jc w:val="both"/>
        <w:rPr>
          <w:rFonts w:asciiTheme="minorHAnsi" w:hAnsiTheme="minorHAnsi" w:cstheme="minorHAnsi"/>
          <w:sz w:val="22"/>
        </w:rPr>
      </w:pPr>
      <w:r w:rsidRPr="006B64C9">
        <w:rPr>
          <w:rFonts w:asciiTheme="minorHAnsi" w:hAnsiTheme="minorHAnsi" w:cstheme="minorHAnsi"/>
          <w:sz w:val="22"/>
        </w:rPr>
        <w:t>les critères d’arbitrage en termes de nomination des agents de la collectivité dans un grade supérieur suite à avancement de grade, nomination après concours ou promotion interne</w:t>
      </w:r>
    </w:p>
    <w:p w:rsidR="00590184" w:rsidRPr="006B64C9" w:rsidRDefault="00590184" w:rsidP="00590184">
      <w:pPr>
        <w:pStyle w:val="Paragraphedeliste"/>
        <w:numPr>
          <w:ilvl w:val="0"/>
          <w:numId w:val="17"/>
        </w:numPr>
        <w:suppressAutoHyphens w:val="0"/>
        <w:autoSpaceDN w:val="0"/>
        <w:spacing w:after="0" w:line="240" w:lineRule="auto"/>
        <w:ind w:right="284"/>
        <w:contextualSpacing/>
        <w:jc w:val="both"/>
        <w:rPr>
          <w:rFonts w:asciiTheme="minorHAnsi" w:hAnsiTheme="minorHAnsi" w:cstheme="minorHAnsi"/>
          <w:sz w:val="22"/>
        </w:rPr>
      </w:pPr>
      <w:r w:rsidRPr="006B64C9">
        <w:rPr>
          <w:rFonts w:asciiTheme="minorHAnsi" w:hAnsiTheme="minorHAnsi" w:cstheme="minorHAnsi"/>
          <w:sz w:val="22"/>
        </w:rPr>
        <w:t xml:space="preserve">les critères d’accès à </w:t>
      </w:r>
      <w:r w:rsidR="00370DEC">
        <w:rPr>
          <w:rFonts w:asciiTheme="minorHAnsi" w:hAnsiTheme="minorHAnsi" w:cstheme="minorHAnsi"/>
          <w:sz w:val="22"/>
        </w:rPr>
        <w:t xml:space="preserve">un </w:t>
      </w:r>
      <w:r w:rsidRPr="006B64C9">
        <w:rPr>
          <w:rFonts w:asciiTheme="minorHAnsi" w:hAnsiTheme="minorHAnsi" w:cstheme="minorHAnsi"/>
          <w:sz w:val="22"/>
        </w:rPr>
        <w:t>poste</w:t>
      </w:r>
      <w:r w:rsidR="00370DEC">
        <w:rPr>
          <w:rFonts w:asciiTheme="minorHAnsi" w:hAnsiTheme="minorHAnsi" w:cstheme="minorHAnsi"/>
          <w:sz w:val="22"/>
        </w:rPr>
        <w:t xml:space="preserve"> à</w:t>
      </w:r>
      <w:r w:rsidRPr="006B64C9">
        <w:rPr>
          <w:rFonts w:asciiTheme="minorHAnsi" w:hAnsiTheme="minorHAnsi" w:cstheme="minorHAnsi"/>
          <w:sz w:val="22"/>
        </w:rPr>
        <w:t xml:space="preserve"> responsabilité supérieure.</w:t>
      </w:r>
    </w:p>
    <w:p w:rsidR="00C200B6" w:rsidRPr="006B64C9" w:rsidRDefault="00C200B6" w:rsidP="00C200B6">
      <w:pPr>
        <w:suppressAutoHyphens w:val="0"/>
        <w:spacing w:after="0" w:line="24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EE78F3" w:rsidRDefault="00B24402" w:rsidP="000F5B95">
      <w:pPr>
        <w:suppressAutoHyphens w:val="0"/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84DEB">
        <w:rPr>
          <w:rFonts w:asciiTheme="minorHAnsi" w:hAnsiTheme="minorHAnsi" w:cstheme="minorHAnsi"/>
          <w:noProof/>
          <w:sz w:val="2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2DD2C" wp14:editId="53EBCCA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</wp:posOffset>
                </wp:positionV>
                <wp:extent cx="6454775" cy="3327400"/>
                <wp:effectExtent l="0" t="0" r="22225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775" cy="332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769" w:rsidRDefault="00D05769" w:rsidP="00D05769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377A4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u w:val="single"/>
                              </w:rPr>
                              <w:t xml:space="preserve">IMPORTANT </w:t>
                            </w:r>
                          </w:p>
                          <w:p w:rsidR="006B64C9" w:rsidRDefault="006B64C9" w:rsidP="00D05769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</w:p>
                          <w:p w:rsidR="006B64C9" w:rsidRPr="006B64C9" w:rsidRDefault="006B64C9" w:rsidP="003C40B9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spacing w:after="0" w:line="240" w:lineRule="auto"/>
                              <w:ind w:left="426" w:right="284" w:firstLine="0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lang w:eastAsia="en-US"/>
                              </w:rPr>
                            </w:pPr>
                            <w:r w:rsidRPr="006B64C9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lang w:eastAsia="en-US"/>
                              </w:rPr>
                              <w:t>Les</w:t>
                            </w:r>
                            <w:r w:rsidRPr="006B64C9">
                              <w:rPr>
                                <w:rFonts w:asciiTheme="minorHAnsi" w:hAnsiTheme="minorHAnsi" w:cstheme="minorHAnsi"/>
                                <w:sz w:val="22"/>
                                <w:lang w:eastAsia="en-US"/>
                              </w:rPr>
                              <w:t xml:space="preserve"> </w:t>
                            </w:r>
                            <w:r w:rsidRPr="006B64C9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lang w:eastAsia="en-US"/>
                              </w:rPr>
                              <w:t xml:space="preserve">LDG sont établies par arrêté par l’autorité territoriale, après avis du Comité Technique Intercommunal, pour une durée maximale de 6 ans. </w:t>
                            </w:r>
                          </w:p>
                          <w:p w:rsidR="00370DEC" w:rsidRPr="003C40B9" w:rsidRDefault="00370DEC" w:rsidP="003C40B9">
                            <w:pPr>
                              <w:suppressAutoHyphens w:val="0"/>
                              <w:spacing w:after="0" w:line="240" w:lineRule="auto"/>
                              <w:ind w:left="426" w:right="28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10"/>
                                <w:szCs w:val="10"/>
                                <w:lang w:eastAsia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05769" w:rsidRPr="006B64C9" w:rsidRDefault="00D05769" w:rsidP="003C40B9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ind w:left="426" w:firstLine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</w:pPr>
                            <w:r w:rsidRPr="006B64C9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Si les LDG en matière de </w:t>
                            </w:r>
                            <w:r w:rsidRPr="00370DE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>promotion et de valorisation des parcours professionnels</w:t>
                            </w:r>
                            <w:r w:rsidRPr="006B64C9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n’ont </w:t>
                            </w:r>
                            <w:r w:rsidRPr="006B64C9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>pas été arrêtées par l’autorité territoriale</w:t>
                            </w:r>
                            <w:r w:rsidR="006B64C9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 xml:space="preserve"> en 2021</w:t>
                            </w:r>
                            <w:r w:rsidRPr="006B64C9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, la </w:t>
                            </w:r>
                            <w:r w:rsidRPr="006B64C9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>collectivité ne pourra pas procéder à des avancements de grade en 2021.</w:t>
                            </w:r>
                          </w:p>
                          <w:p w:rsidR="00D05769" w:rsidRPr="003C40B9" w:rsidRDefault="00D05769" w:rsidP="003C40B9">
                            <w:pPr>
                              <w:spacing w:after="0" w:line="240" w:lineRule="auto"/>
                              <w:ind w:left="426"/>
                              <w:rPr>
                                <w:rFonts w:asciiTheme="minorHAnsi" w:hAnsiTheme="minorHAnsi" w:cstheme="minorHAnsi"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:rsidR="006B64C9" w:rsidRPr="00B24402" w:rsidRDefault="006B64C9" w:rsidP="003C40B9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spacing w:after="0" w:line="240" w:lineRule="auto"/>
                              <w:ind w:left="426" w:right="-48" w:firstLine="0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lang w:eastAsia="en-US"/>
                              </w:rPr>
                            </w:pPr>
                            <w:r w:rsidRPr="008F67AE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lang w:eastAsia="en-US"/>
                              </w:rPr>
                              <w:t xml:space="preserve">Un </w:t>
                            </w:r>
                            <w:r w:rsidRPr="008F67AE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lang w:eastAsia="en-US"/>
                              </w:rPr>
                              <w:t>bilan de la mise en œuvre</w:t>
                            </w:r>
                            <w:r w:rsidR="008F67AE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lang w:eastAsia="en-US"/>
                              </w:rPr>
                              <w:t xml:space="preserve"> des LDG en matière de promotion et de valorisation des parcours professionnels </w:t>
                            </w:r>
                            <w:r w:rsidRPr="008F67AE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lang w:eastAsia="en-US"/>
                              </w:rPr>
                              <w:t xml:space="preserve">est établi annuellement sur la base de décisions individuelles et en tenant compte des données issues du rapport social unique et présenté au </w:t>
                            </w:r>
                            <w:r w:rsidRPr="008F67AE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lang w:eastAsia="en-US"/>
                              </w:rPr>
                              <w:t>Comité Technique Intercommunal.</w:t>
                            </w:r>
                            <w:r w:rsidR="008F67AE" w:rsidRPr="008F67AE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</w:p>
                          <w:p w:rsidR="00B24402" w:rsidRPr="007963F7" w:rsidRDefault="00B24402" w:rsidP="00B24402">
                            <w:pPr>
                              <w:pStyle w:val="Paragraphedeliste"/>
                              <w:suppressAutoHyphens w:val="0"/>
                              <w:spacing w:after="0" w:line="240" w:lineRule="auto"/>
                              <w:ind w:left="426" w:right="-48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:rsidR="00B24402" w:rsidRPr="00D030FD" w:rsidRDefault="00B24402" w:rsidP="00B24402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firstLine="0"/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2"/>
                                <w:lang w:eastAsia="en-US"/>
                              </w:rPr>
                            </w:pPr>
                            <w:r w:rsidRPr="00D030F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lang w:eastAsia="en-US"/>
                              </w:rPr>
                              <w:t xml:space="preserve">Le document proposé </w:t>
                            </w:r>
                            <w:r w:rsidRPr="00D030FD"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lang w:eastAsia="en-US"/>
                              </w:rPr>
                              <w:t>constitue un</w:t>
                            </w:r>
                            <w:r w:rsidRPr="00D030F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lang w:eastAsia="en-US"/>
                              </w:rPr>
                              <w:t xml:space="preserve"> modèle devant être adapté par chaque collectivité.</w:t>
                            </w:r>
                            <w:r w:rsidRPr="00D030FD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color w:val="1F497D" w:themeColor="text2"/>
                                <w:sz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24402" w:rsidRDefault="00B24402" w:rsidP="00B2440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/>
                              <w:jc w:val="both"/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color w:val="002060"/>
                                <w:sz w:val="22"/>
                                <w:lang w:eastAsia="en-US"/>
                              </w:rPr>
                            </w:pPr>
                            <w:r w:rsidRPr="00D030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2"/>
                                <w:lang w:eastAsia="en-US"/>
                              </w:rPr>
                              <w:t xml:space="preserve">Les mentions en bleu </w:t>
                            </w:r>
                            <w:r w:rsidRPr="00D030FD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2"/>
                                <w:lang w:eastAsia="en-US"/>
                              </w:rPr>
                              <w:t xml:space="preserve">constituent des commentaires destinés à guider les collectivités dans l’élaboration de leurs LDG. </w:t>
                            </w:r>
                            <w:r w:rsidRPr="00D030FD">
                              <w:rPr>
                                <w:rFonts w:asciiTheme="minorHAnsi" w:eastAsia="SimSun" w:hAnsiTheme="minorHAnsi"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Ils ne devront pas apparaître dans le document final.</w:t>
                            </w:r>
                          </w:p>
                          <w:p w:rsidR="003C40B9" w:rsidRDefault="003C4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DD2C" id="Zone de texte 9" o:spid="_x0000_s1028" type="#_x0000_t202" style="position:absolute;margin-left:-51.35pt;margin-top:4.25pt;width:508.25pt;height:2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" fillcolor="#d8d8d8 [2732]" strokecolor="#7f7f7f [1612]" strokeweight="1.5pt">
                <v:textbox>
                  <w:txbxContent>
                    <w:p w:rsidR="00D05769" w:rsidRDefault="00D05769" w:rsidP="00D05769">
                      <w:pPr>
                        <w:pStyle w:val="TableParagraph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377A4B">
                        <w:rPr>
                          <w:rFonts w:asciiTheme="minorHAnsi" w:hAnsiTheme="minorHAnsi" w:cstheme="minorHAnsi"/>
                          <w:b/>
                          <w:color w:val="FF0000"/>
                          <w:u w:val="single"/>
                        </w:rPr>
                        <w:t xml:space="preserve">IMPORTANT </w:t>
                      </w:r>
                    </w:p>
                    <w:p w:rsidR="006B64C9" w:rsidRDefault="006B64C9" w:rsidP="00D05769">
                      <w:pPr>
                        <w:pStyle w:val="TableParagraph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</w:p>
                    <w:p w:rsidR="006B64C9" w:rsidRPr="006B64C9" w:rsidRDefault="006B64C9" w:rsidP="003C40B9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uppressAutoHyphens w:val="0"/>
                        <w:spacing w:after="0" w:line="240" w:lineRule="auto"/>
                        <w:ind w:left="426" w:right="284" w:firstLine="0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lang w:eastAsia="en-US"/>
                        </w:rPr>
                      </w:pPr>
                      <w:r w:rsidRPr="006B64C9">
                        <w:rPr>
                          <w:rFonts w:asciiTheme="minorHAnsi" w:hAnsiTheme="minorHAnsi" w:cstheme="minorHAnsi"/>
                          <w:color w:val="002060"/>
                          <w:sz w:val="22"/>
                          <w:lang w:eastAsia="en-US"/>
                        </w:rPr>
                        <w:t>Les</w:t>
                      </w:r>
                      <w:r w:rsidRPr="006B64C9">
                        <w:rPr>
                          <w:rFonts w:asciiTheme="minorHAnsi" w:hAnsiTheme="minorHAnsi" w:cstheme="minorHAnsi"/>
                          <w:sz w:val="22"/>
                          <w:lang w:eastAsia="en-US"/>
                        </w:rPr>
                        <w:t xml:space="preserve"> </w:t>
                      </w:r>
                      <w:r w:rsidRPr="006B64C9">
                        <w:rPr>
                          <w:rFonts w:asciiTheme="minorHAnsi" w:hAnsiTheme="minorHAnsi" w:cstheme="minorHAnsi"/>
                          <w:color w:val="002060"/>
                          <w:sz w:val="22"/>
                          <w:lang w:eastAsia="en-US"/>
                        </w:rPr>
                        <w:t xml:space="preserve">LDG sont établies par arrêté par l’autorité territoriale, après avis du Comité Technique Intercommunal, pour une durée maximale de 6 ans. </w:t>
                      </w:r>
                    </w:p>
                    <w:p w:rsidR="00370DEC" w:rsidRPr="003C40B9" w:rsidRDefault="00370DEC" w:rsidP="003C40B9">
                      <w:pPr>
                        <w:suppressAutoHyphens w:val="0"/>
                        <w:spacing w:after="0" w:line="240" w:lineRule="auto"/>
                        <w:ind w:left="426" w:right="284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10"/>
                          <w:szCs w:val="10"/>
                          <w:lang w:eastAsia="en-US"/>
                        </w:rPr>
                      </w:pPr>
                      <w:bookmarkStart w:id="1" w:name="_GoBack"/>
                      <w:bookmarkEnd w:id="1"/>
                    </w:p>
                    <w:p w:rsidR="00D05769" w:rsidRPr="006B64C9" w:rsidRDefault="00D05769" w:rsidP="003C40B9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ind w:left="426" w:firstLine="0"/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</w:pPr>
                      <w:r w:rsidRPr="006B64C9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Si les LDG en matière de </w:t>
                      </w:r>
                      <w:r w:rsidRPr="00370DEC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>promotion et de valorisation des parcours professionnels</w:t>
                      </w:r>
                      <w:r w:rsidRPr="006B64C9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n’ont </w:t>
                      </w:r>
                      <w:r w:rsidRPr="006B64C9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>pas été arrêtées par l’autorité territoriale</w:t>
                      </w:r>
                      <w:r w:rsidR="006B64C9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 xml:space="preserve"> en 2021</w:t>
                      </w:r>
                      <w:r w:rsidRPr="006B64C9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, la </w:t>
                      </w:r>
                      <w:r w:rsidRPr="006B64C9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>collectivité ne pourra pas procéder à des avancements de grade en 2021.</w:t>
                      </w:r>
                    </w:p>
                    <w:p w:rsidR="00D05769" w:rsidRPr="003C40B9" w:rsidRDefault="00D05769" w:rsidP="003C40B9">
                      <w:pPr>
                        <w:spacing w:after="0" w:line="240" w:lineRule="auto"/>
                        <w:ind w:left="426"/>
                        <w:rPr>
                          <w:rFonts w:asciiTheme="minorHAnsi" w:hAnsiTheme="minorHAnsi" w:cstheme="minorHAnsi"/>
                          <w:color w:val="002060"/>
                          <w:sz w:val="10"/>
                          <w:szCs w:val="10"/>
                        </w:rPr>
                      </w:pPr>
                    </w:p>
                    <w:p w:rsidR="006B64C9" w:rsidRPr="00B24402" w:rsidRDefault="006B64C9" w:rsidP="003C40B9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uppressAutoHyphens w:val="0"/>
                        <w:spacing w:after="0" w:line="240" w:lineRule="auto"/>
                        <w:ind w:left="426" w:right="-48" w:firstLine="0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2"/>
                          <w:lang w:eastAsia="en-US"/>
                        </w:rPr>
                      </w:pPr>
                      <w:r w:rsidRPr="008F67AE">
                        <w:rPr>
                          <w:rFonts w:asciiTheme="minorHAnsi" w:hAnsiTheme="minorHAnsi" w:cstheme="minorHAnsi"/>
                          <w:color w:val="002060"/>
                          <w:sz w:val="22"/>
                          <w:lang w:eastAsia="en-US"/>
                        </w:rPr>
                        <w:t xml:space="preserve">Un </w:t>
                      </w:r>
                      <w:r w:rsidRPr="008F67AE"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lang w:eastAsia="en-US"/>
                        </w:rPr>
                        <w:t>bilan de la mise en œuvre</w:t>
                      </w:r>
                      <w:r w:rsidR="008F67AE"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lang w:eastAsia="en-US"/>
                        </w:rPr>
                        <w:t xml:space="preserve"> des LDG en matière de promotion et de valorisation des parcours professionnels </w:t>
                      </w:r>
                      <w:r w:rsidRPr="008F67AE">
                        <w:rPr>
                          <w:rFonts w:asciiTheme="minorHAnsi" w:hAnsiTheme="minorHAnsi" w:cstheme="minorHAnsi"/>
                          <w:color w:val="002060"/>
                          <w:sz w:val="22"/>
                          <w:lang w:eastAsia="en-US"/>
                        </w:rPr>
                        <w:t xml:space="preserve">est établi annuellement sur la base de décisions individuelles et en tenant compte des données issues du rapport social unique et présenté au </w:t>
                      </w:r>
                      <w:r w:rsidRPr="008F67AE"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lang w:eastAsia="en-US"/>
                        </w:rPr>
                        <w:t>Comité Technique Intercommunal.</w:t>
                      </w:r>
                      <w:r w:rsidR="008F67AE" w:rsidRPr="008F67AE"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u w:val="single"/>
                          <w:lang w:eastAsia="en-US"/>
                        </w:rPr>
                        <w:t xml:space="preserve"> </w:t>
                      </w:r>
                    </w:p>
                    <w:p w:rsidR="00B24402" w:rsidRPr="007963F7" w:rsidRDefault="00B24402" w:rsidP="00B24402">
                      <w:pPr>
                        <w:pStyle w:val="Paragraphedeliste"/>
                        <w:suppressAutoHyphens w:val="0"/>
                        <w:spacing w:after="0" w:line="240" w:lineRule="auto"/>
                        <w:ind w:left="426" w:right="-48"/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10"/>
                          <w:szCs w:val="10"/>
                          <w:lang w:eastAsia="en-US"/>
                        </w:rPr>
                      </w:pPr>
                    </w:p>
                    <w:p w:rsidR="00B24402" w:rsidRPr="00D030FD" w:rsidRDefault="00B24402" w:rsidP="00B24402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 w:firstLine="0"/>
                        <w:rPr>
                          <w:rFonts w:asciiTheme="minorHAnsi" w:hAnsiTheme="minorHAnsi" w:cstheme="minorHAnsi"/>
                          <w:bCs/>
                          <w:color w:val="002060"/>
                          <w:sz w:val="22"/>
                          <w:lang w:eastAsia="en-US"/>
                        </w:rPr>
                      </w:pPr>
                      <w:r w:rsidRPr="00D030FD"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lang w:eastAsia="en-US"/>
                        </w:rPr>
                        <w:t xml:space="preserve">Le document proposé </w:t>
                      </w:r>
                      <w:r w:rsidRPr="00D030FD">
                        <w:rPr>
                          <w:rFonts w:asciiTheme="minorHAnsi" w:hAnsiTheme="minorHAnsi" w:cstheme="minorHAnsi"/>
                          <w:color w:val="002060"/>
                          <w:sz w:val="22"/>
                          <w:lang w:eastAsia="en-US"/>
                        </w:rPr>
                        <w:t>constitue un</w:t>
                      </w:r>
                      <w:r w:rsidRPr="00D030FD"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lang w:eastAsia="en-US"/>
                        </w:rPr>
                        <w:t xml:space="preserve"> modèle devant être adapté par chaque collectivité.</w:t>
                      </w:r>
                      <w:r w:rsidRPr="00D030FD">
                        <w:rPr>
                          <w:rFonts w:asciiTheme="minorHAnsi" w:eastAsia="SimSun" w:hAnsiTheme="minorHAnsi" w:cstheme="minorHAnsi"/>
                          <w:b/>
                          <w:bCs/>
                          <w:color w:val="1F497D" w:themeColor="text2"/>
                          <w:sz w:val="22"/>
                          <w:lang w:eastAsia="en-US"/>
                        </w:rPr>
                        <w:t xml:space="preserve"> </w:t>
                      </w:r>
                    </w:p>
                    <w:p w:rsidR="00B24402" w:rsidRDefault="00B24402" w:rsidP="00B24402">
                      <w:pPr>
                        <w:tabs>
                          <w:tab w:val="left" w:pos="426"/>
                        </w:tabs>
                        <w:spacing w:after="0" w:line="240" w:lineRule="auto"/>
                        <w:ind w:left="426"/>
                        <w:jc w:val="both"/>
                        <w:rPr>
                          <w:rFonts w:asciiTheme="minorHAnsi" w:eastAsia="SimSun" w:hAnsiTheme="minorHAnsi" w:cstheme="minorHAnsi"/>
                          <w:b/>
                          <w:bCs/>
                          <w:color w:val="002060"/>
                          <w:sz w:val="22"/>
                          <w:lang w:eastAsia="en-US"/>
                        </w:rPr>
                      </w:pPr>
                      <w:r w:rsidRPr="00D030FD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2"/>
                          <w:lang w:eastAsia="en-US"/>
                        </w:rPr>
                        <w:t xml:space="preserve">Les mentions en bleu </w:t>
                      </w:r>
                      <w:r w:rsidRPr="00D030FD">
                        <w:rPr>
                          <w:rFonts w:asciiTheme="minorHAnsi" w:hAnsiTheme="minorHAnsi" w:cstheme="minorHAnsi"/>
                          <w:bCs/>
                          <w:color w:val="002060"/>
                          <w:sz w:val="22"/>
                          <w:lang w:eastAsia="en-US"/>
                        </w:rPr>
                        <w:t xml:space="preserve">constituent des commentaires destinés à guider les collectivités dans l’élaboration de leurs LDG. </w:t>
                      </w:r>
                      <w:r w:rsidRPr="00D030FD">
                        <w:rPr>
                          <w:rFonts w:asciiTheme="minorHAnsi" w:eastAsia="SimSun" w:hAnsiTheme="minorHAnsi" w:cstheme="minorHAnsi"/>
                          <w:b/>
                          <w:bCs/>
                          <w:color w:val="002060"/>
                          <w:sz w:val="22"/>
                          <w:szCs w:val="22"/>
                          <w:lang w:eastAsia="en-US"/>
                        </w:rPr>
                        <w:t>Ils ne devront pas apparaître dans le document final.</w:t>
                      </w:r>
                    </w:p>
                    <w:p w:rsidR="003C40B9" w:rsidRDefault="003C40B9"/>
                  </w:txbxContent>
                </v:textbox>
              </v:shape>
            </w:pict>
          </mc:Fallback>
        </mc:AlternateContent>
      </w:r>
    </w:p>
    <w:p w:rsidR="002A7ABE" w:rsidRDefault="002A7ABE" w:rsidP="000F5B95">
      <w:pPr>
        <w:suppressAutoHyphens w:val="0"/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B64C9" w:rsidRDefault="006B64C9" w:rsidP="000F5B95">
      <w:pPr>
        <w:suppressAutoHyphens w:val="0"/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B64C9" w:rsidRDefault="006B64C9" w:rsidP="000F5B95">
      <w:pPr>
        <w:suppressAutoHyphens w:val="0"/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B64C9" w:rsidRDefault="006B64C9" w:rsidP="000F5B95">
      <w:pPr>
        <w:suppressAutoHyphens w:val="0"/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B64C9" w:rsidRDefault="006B64C9" w:rsidP="000F5B95">
      <w:pPr>
        <w:suppressAutoHyphens w:val="0"/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B64C9" w:rsidRDefault="006B64C9" w:rsidP="000F5B95">
      <w:pPr>
        <w:suppressAutoHyphens w:val="0"/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B64C9" w:rsidRDefault="006B64C9" w:rsidP="000F5B95">
      <w:pPr>
        <w:suppressAutoHyphens w:val="0"/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B64C9" w:rsidRDefault="006B64C9" w:rsidP="000F5B95">
      <w:pPr>
        <w:suppressAutoHyphens w:val="0"/>
        <w:spacing w:after="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75B33" w:rsidRPr="00E84DEB" w:rsidRDefault="00E75B33" w:rsidP="00E75B33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sz w:val="22"/>
          <w:highlight w:val="green"/>
        </w:rPr>
      </w:pPr>
    </w:p>
    <w:p w:rsidR="00D05769" w:rsidRPr="00E84DEB" w:rsidRDefault="00D05769" w:rsidP="00E75B33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sz w:val="22"/>
          <w:highlight w:val="green"/>
        </w:rPr>
      </w:pPr>
    </w:p>
    <w:p w:rsidR="00D05769" w:rsidRDefault="00D05769" w:rsidP="00E75B33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sz w:val="22"/>
          <w:highlight w:val="green"/>
        </w:rPr>
      </w:pPr>
    </w:p>
    <w:p w:rsidR="006B64C9" w:rsidRDefault="006B64C9" w:rsidP="00E75B33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sz w:val="22"/>
          <w:highlight w:val="green"/>
        </w:rPr>
      </w:pPr>
    </w:p>
    <w:p w:rsidR="006B64C9" w:rsidRDefault="006B64C9" w:rsidP="00E75B33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sz w:val="22"/>
          <w:highlight w:val="green"/>
        </w:rPr>
      </w:pPr>
    </w:p>
    <w:p w:rsidR="006B64C9" w:rsidRDefault="006B64C9" w:rsidP="00E75B33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sz w:val="22"/>
          <w:highlight w:val="green"/>
        </w:rPr>
      </w:pPr>
    </w:p>
    <w:p w:rsidR="006B64C9" w:rsidRPr="00E84DEB" w:rsidRDefault="006B64C9" w:rsidP="00E75B33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sz w:val="22"/>
          <w:highlight w:val="green"/>
        </w:rPr>
      </w:pPr>
    </w:p>
    <w:p w:rsidR="00E7425A" w:rsidRDefault="00E7425A" w:rsidP="00E7425A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636727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lastRenderedPageBreak/>
        <w:t>Les orientations générales en matière de promotion</w:t>
      </w:r>
      <w:r w:rsidRPr="00636727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Pr="00636727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(à adapter selon les collectivités)</w:t>
      </w:r>
    </w:p>
    <w:p w:rsidR="00E7425A" w:rsidRDefault="00E7425A" w:rsidP="00E7425A">
      <w:pPr>
        <w:tabs>
          <w:tab w:val="left" w:pos="9498"/>
        </w:tabs>
        <w:spacing w:after="0" w:line="240" w:lineRule="auto"/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F68">
        <w:rPr>
          <w:rFonts w:asciiTheme="minorHAnsi" w:hAnsiTheme="minorHAnsi" w:cstheme="minorHAnsi"/>
          <w:sz w:val="22"/>
          <w:szCs w:val="22"/>
        </w:rPr>
        <w:t xml:space="preserve">Il s'agit des orientations et des critères généraux à prendre en compte pour les promotions au choix dans les grades et cadres d'emplois : </w:t>
      </w:r>
      <w:r w:rsidRPr="00BF6F68">
        <w:rPr>
          <w:rFonts w:asciiTheme="minorHAnsi" w:hAnsiTheme="minorHAnsi" w:cstheme="minorHAnsi"/>
          <w:b/>
          <w:sz w:val="22"/>
          <w:szCs w:val="22"/>
        </w:rPr>
        <w:t>avancement de grade et promotion interne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E7425A" w:rsidRPr="00B30523" w:rsidRDefault="00E7425A" w:rsidP="00E7425A">
      <w:pPr>
        <w:spacing w:after="0" w:line="240" w:lineRule="auto"/>
        <w:ind w:left="357"/>
        <w:rPr>
          <w:rFonts w:asciiTheme="minorHAnsi" w:hAnsiTheme="minorHAnsi" w:cstheme="minorHAnsi"/>
          <w:b/>
          <w:sz w:val="4"/>
          <w:szCs w:val="4"/>
        </w:rPr>
      </w:pPr>
    </w:p>
    <w:tbl>
      <w:tblPr>
        <w:tblStyle w:val="Grilledutableau"/>
        <w:tblW w:w="10815" w:type="dxa"/>
        <w:tblInd w:w="-606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0815"/>
      </w:tblGrid>
      <w:tr w:rsidR="00E7425A" w:rsidRPr="00757F62" w:rsidTr="009D13EE">
        <w:trPr>
          <w:trHeight w:val="175"/>
        </w:trPr>
        <w:tc>
          <w:tcPr>
            <w:tcW w:w="10815" w:type="dxa"/>
            <w:shd w:val="clear" w:color="auto" w:fill="auto"/>
            <w:vAlign w:val="center"/>
          </w:tcPr>
          <w:p w:rsidR="00E7425A" w:rsidRPr="009E493A" w:rsidRDefault="00E7425A" w:rsidP="009D13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AVANCEMENT DE GRADE </w:t>
            </w:r>
          </w:p>
        </w:tc>
      </w:tr>
      <w:tr w:rsidR="00E7425A" w:rsidRPr="00BC53A4" w:rsidTr="00B30523">
        <w:trPr>
          <w:trHeight w:val="5532"/>
        </w:trPr>
        <w:tc>
          <w:tcPr>
            <w:tcW w:w="10815" w:type="dxa"/>
            <w:shd w:val="clear" w:color="auto" w:fill="F2F2F2" w:themeFill="background1" w:themeFillShade="F2"/>
            <w:vAlign w:val="center"/>
          </w:tcPr>
          <w:p w:rsidR="00E7425A" w:rsidRPr="00BC53A4" w:rsidRDefault="00E7425A" w:rsidP="009D13EE">
            <w:pPr>
              <w:pStyle w:val="Paragraphedeliste"/>
              <w:ind w:left="46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→ Critères </w:t>
            </w:r>
          </w:p>
          <w:p w:rsidR="00E7425A" w:rsidRPr="00BC53A4" w:rsidRDefault="00E7425A" w:rsidP="009D13EE">
            <w:pPr>
              <w:pStyle w:val="Paragraphedeliste"/>
              <w:jc w:val="bot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E7425A" w:rsidRPr="00BC53A4" w:rsidRDefault="00E7425A" w:rsidP="009D13EE">
            <w:pPr>
              <w:pStyle w:val="Paragraphedeliste"/>
              <w:ind w:hanging="256"/>
              <w:jc w:val="both"/>
              <w:rPr>
                <w:rFonts w:asciiTheme="minorHAnsi" w:hAnsiTheme="minorHAnsi" w:cstheme="minorHAnsi"/>
                <w:sz w:val="22"/>
              </w:rPr>
            </w:pPr>
            <w:r w:rsidRPr="00BC53A4">
              <w:rPr>
                <w:rFonts w:asciiTheme="minorHAnsi" w:hAnsiTheme="minorHAnsi" w:cstheme="minorHAnsi"/>
                <w:sz w:val="22"/>
              </w:rPr>
              <w:t xml:space="preserve">La collectivité décide de </w:t>
            </w:r>
            <w:r w:rsidRPr="00BC53A4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(au choix – à cocher) :</w:t>
            </w:r>
          </w:p>
          <w:p w:rsidR="00E7425A" w:rsidRPr="00BC53A4" w:rsidRDefault="00E7425A" w:rsidP="009D13EE">
            <w:pPr>
              <w:ind w:firstLine="595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E7425A" w:rsidRPr="00BC53A4" w:rsidRDefault="00E7425A" w:rsidP="009D13EE">
            <w:pPr>
              <w:ind w:left="6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7F"/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 pas établir de critères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et de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proposer à l’avancement de grade tous les fonctionnaires remplissant les conditions statutaires</w:t>
            </w:r>
          </w:p>
          <w:p w:rsidR="00E7425A" w:rsidRPr="00BC53A4" w:rsidRDefault="00E7425A" w:rsidP="009D13EE">
            <w:pPr>
              <w:ind w:firstLine="59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Ou</w:t>
            </w:r>
          </w:p>
          <w:p w:rsidR="00E7425A" w:rsidRPr="00BC53A4" w:rsidRDefault="00E7425A" w:rsidP="009D13EE">
            <w:pPr>
              <w:ind w:left="617" w:hanging="1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7F"/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d’appliquer des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critères avant de prononcer un avancement de grade 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(pour l’ensemble des fonctionnaires de la collectivité) </w:t>
            </w:r>
            <w:r w:rsidR="00874B18"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et de </w:t>
            </w:r>
            <w:r w:rsidR="00874B18"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>prendre en compte</w:t>
            </w:r>
            <w:r w:rsidR="00874B18"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3A4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</w:rPr>
              <w:t xml:space="preserve">(supprimer les critères non retenus) 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E7425A" w:rsidRPr="00BC53A4" w:rsidRDefault="00E7425A" w:rsidP="009D13EE">
            <w:pPr>
              <w:ind w:firstLine="606"/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l’obtention de l’examen professionnel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l’effort de formation suivie et ou préparation au concours/examen professionnel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□ l’ancienneté dans le grade et /ou dans la collectivité </w:t>
            </w:r>
            <w:r w:rsidR="000C5CF7" w:rsidRPr="00BC53A4">
              <w:rPr>
                <w:rFonts w:asciiTheme="minorHAnsi" w:hAnsiTheme="minorHAnsi" w:cstheme="minorHAnsi"/>
                <w:sz w:val="22"/>
                <w:szCs w:val="22"/>
              </w:rPr>
              <w:t>pour favoriser le déroulement de carrière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l’expérience acquise et la valeur professionnelle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l’investissement et la motivation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□ l’adéquation grade et fonctions 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les compétences (acquises dans le secteur public/privé, associatif, syndical, mandat électif)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les promotions et/ou avancements déjà prononcés en faveur d</w:t>
            </w:r>
            <w:r w:rsidR="000C5CF7" w:rsidRPr="00BC53A4">
              <w:rPr>
                <w:rFonts w:asciiTheme="minorHAnsi" w:hAnsiTheme="minorHAnsi" w:cstheme="minorHAnsi"/>
                <w:sz w:val="22"/>
                <w:szCs w:val="22"/>
              </w:rPr>
              <w:t>e l’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agent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□ les technicités du poste </w:t>
            </w:r>
          </w:p>
          <w:p w:rsidR="00E7425A" w:rsidRPr="00BC53A4" w:rsidRDefault="00E7425A" w:rsidP="00874B18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les conditions particulières d’exercice : astreintes, horaires décalés, tutorat, qualifications spécifiques, assistance de prévention…</w:t>
            </w:r>
          </w:p>
        </w:tc>
      </w:tr>
    </w:tbl>
    <w:p w:rsidR="00E7425A" w:rsidRPr="00BC53A4" w:rsidRDefault="00E7425A" w:rsidP="00E7425A">
      <w:pPr>
        <w:spacing w:after="0" w:line="240" w:lineRule="auto"/>
        <w:ind w:left="357"/>
        <w:rPr>
          <w:rFonts w:asciiTheme="minorHAnsi" w:hAnsiTheme="minorHAnsi" w:cstheme="minorHAnsi"/>
          <w:sz w:val="4"/>
          <w:szCs w:val="4"/>
        </w:rPr>
      </w:pPr>
    </w:p>
    <w:p w:rsidR="00E7425A" w:rsidRPr="00BC53A4" w:rsidRDefault="00E7425A" w:rsidP="00E7425A">
      <w:pPr>
        <w:spacing w:after="0" w:line="240" w:lineRule="auto"/>
        <w:ind w:left="357"/>
        <w:rPr>
          <w:rFonts w:asciiTheme="minorHAnsi" w:hAnsiTheme="minorHAnsi" w:cstheme="minorHAnsi"/>
          <w:sz w:val="4"/>
          <w:szCs w:val="4"/>
        </w:rPr>
      </w:pPr>
    </w:p>
    <w:p w:rsidR="00E7425A" w:rsidRPr="00BC53A4" w:rsidRDefault="00E7425A" w:rsidP="00E7425A">
      <w:pPr>
        <w:spacing w:after="0" w:line="240" w:lineRule="auto"/>
        <w:ind w:left="357"/>
        <w:rPr>
          <w:rFonts w:asciiTheme="minorHAnsi" w:hAnsiTheme="minorHAnsi" w:cstheme="minorHAnsi"/>
          <w:sz w:val="4"/>
          <w:szCs w:val="4"/>
        </w:rPr>
      </w:pPr>
    </w:p>
    <w:tbl>
      <w:tblPr>
        <w:tblStyle w:val="Grilledutableau"/>
        <w:tblW w:w="10815" w:type="dxa"/>
        <w:tblInd w:w="-606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0815"/>
      </w:tblGrid>
      <w:tr w:rsidR="00E7425A" w:rsidRPr="00BC53A4" w:rsidTr="009D13EE">
        <w:trPr>
          <w:trHeight w:val="465"/>
        </w:trPr>
        <w:tc>
          <w:tcPr>
            <w:tcW w:w="10815" w:type="dxa"/>
            <w:shd w:val="clear" w:color="auto" w:fill="auto"/>
            <w:vAlign w:val="center"/>
          </w:tcPr>
          <w:p w:rsidR="00E7425A" w:rsidRPr="00BC53A4" w:rsidRDefault="00E7425A" w:rsidP="009D13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A4">
              <w:rPr>
                <w:rFonts w:asciiTheme="minorHAnsi" w:hAnsiTheme="minorHAnsi" w:cstheme="minorHAnsi"/>
                <w:b/>
                <w:sz w:val="28"/>
                <w:szCs w:val="28"/>
              </w:rPr>
              <w:t>PROMOTION INTERNE</w:t>
            </w:r>
          </w:p>
        </w:tc>
      </w:tr>
      <w:tr w:rsidR="00E7425A" w:rsidRPr="00BC53A4" w:rsidTr="009D13EE">
        <w:trPr>
          <w:trHeight w:val="175"/>
        </w:trPr>
        <w:tc>
          <w:tcPr>
            <w:tcW w:w="10815" w:type="dxa"/>
            <w:shd w:val="clear" w:color="auto" w:fill="F2F2F2" w:themeFill="background1" w:themeFillShade="F2"/>
          </w:tcPr>
          <w:p w:rsidR="00E7425A" w:rsidRPr="00BC53A4" w:rsidRDefault="00E7425A" w:rsidP="009D13EE">
            <w:pPr>
              <w:pStyle w:val="Paragraphedeliste"/>
              <w:jc w:val="both"/>
              <w:rPr>
                <w:rFonts w:asciiTheme="minorHAnsi" w:hAnsiTheme="minorHAnsi" w:cstheme="minorHAnsi"/>
                <w:b/>
                <w:color w:val="0070C0"/>
                <w:sz w:val="4"/>
                <w:szCs w:val="4"/>
              </w:rPr>
            </w:pPr>
          </w:p>
          <w:p w:rsidR="00E7425A" w:rsidRPr="00BC53A4" w:rsidRDefault="00E7425A" w:rsidP="009D13EE">
            <w:pPr>
              <w:pStyle w:val="Paragraphedeliste"/>
              <w:ind w:left="39"/>
              <w:jc w:val="both"/>
              <w:rPr>
                <w:rFonts w:asciiTheme="minorHAnsi" w:hAnsiTheme="minorHAnsi" w:cstheme="minorHAnsi"/>
                <w:b/>
                <w:color w:val="FF0000"/>
                <w:sz w:val="10"/>
                <w:szCs w:val="10"/>
              </w:rPr>
            </w:pPr>
          </w:p>
          <w:p w:rsidR="00E7425A" w:rsidRPr="00BC53A4" w:rsidRDefault="00E7425A" w:rsidP="009D13EE">
            <w:pPr>
              <w:pStyle w:val="Paragraphedeliste"/>
              <w:ind w:left="39"/>
              <w:jc w:val="both"/>
              <w:rPr>
                <w:rFonts w:asciiTheme="minorHAnsi" w:hAnsiTheme="minorHAnsi" w:cstheme="minorHAnsi"/>
                <w:sz w:val="22"/>
              </w:rPr>
            </w:pPr>
            <w:r w:rsidRPr="00BC53A4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RAPPEL : </w:t>
            </w:r>
            <w:r w:rsidRPr="00BC53A4">
              <w:rPr>
                <w:rFonts w:asciiTheme="minorHAnsi" w:hAnsiTheme="minorHAnsi" w:cstheme="minorHAnsi"/>
                <w:bCs/>
                <w:sz w:val="22"/>
                <w:lang w:eastAsia="en-US"/>
              </w:rPr>
              <w:t>Concernant la promotion interne</w:t>
            </w:r>
            <w:r w:rsidRPr="00BC53A4">
              <w:rPr>
                <w:rFonts w:asciiTheme="minorHAnsi" w:hAnsiTheme="minorHAnsi" w:cstheme="minorHAnsi"/>
                <w:b/>
                <w:bCs/>
                <w:sz w:val="22"/>
                <w:lang w:eastAsia="en-US"/>
              </w:rPr>
              <w:t>,</w:t>
            </w:r>
            <w:r w:rsidRPr="00BC53A4">
              <w:rPr>
                <w:rFonts w:asciiTheme="minorHAnsi" w:hAnsiTheme="minorHAnsi" w:cstheme="minorHAnsi"/>
                <w:bCs/>
                <w:szCs w:val="20"/>
                <w:lang w:eastAsia="en-US"/>
              </w:rPr>
              <w:t xml:space="preserve"> </w:t>
            </w:r>
            <w:r w:rsidRPr="00BC53A4"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  <w:t>l</w:t>
            </w:r>
            <w:r w:rsidRPr="00BC53A4">
              <w:rPr>
                <w:rFonts w:asciiTheme="minorHAnsi" w:hAnsiTheme="minorHAnsi" w:cstheme="minorHAnsi"/>
                <w:b/>
                <w:szCs w:val="20"/>
              </w:rPr>
              <w:t>es</w:t>
            </w:r>
            <w:r w:rsidRPr="00BC53A4">
              <w:rPr>
                <w:rFonts w:asciiTheme="minorHAnsi" w:hAnsiTheme="minorHAnsi" w:cstheme="minorHAnsi"/>
                <w:b/>
                <w:sz w:val="22"/>
              </w:rPr>
              <w:t xml:space="preserve"> LDG de promotion interne sont établies par le Président du Centre de Gestion et s’imposent aux collectivités et établissements affiliés au Centre de Gestion.</w:t>
            </w:r>
          </w:p>
          <w:p w:rsidR="00E7425A" w:rsidRPr="00BC53A4" w:rsidRDefault="00E7425A" w:rsidP="009D13EE">
            <w:pPr>
              <w:pStyle w:val="Corpsdetexte"/>
              <w:ind w:left="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Toutefois, si la collectivité le souhaite, elle peut définir des 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>critères de dépôt des dossiers de promotion interne avant envoi au CDG.</w:t>
            </w:r>
          </w:p>
          <w:p w:rsidR="00E7425A" w:rsidRPr="00BC53A4" w:rsidRDefault="00E7425A" w:rsidP="009D13EE">
            <w:pPr>
              <w:pStyle w:val="Corpsdetexte"/>
              <w:ind w:left="39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7425A" w:rsidRPr="00163A19" w:rsidTr="009D13EE">
        <w:trPr>
          <w:trHeight w:val="358"/>
        </w:trPr>
        <w:tc>
          <w:tcPr>
            <w:tcW w:w="10815" w:type="dxa"/>
            <w:shd w:val="clear" w:color="auto" w:fill="F2F2F2" w:themeFill="background1" w:themeFillShade="F2"/>
            <w:vAlign w:val="center"/>
          </w:tcPr>
          <w:p w:rsidR="00E7425A" w:rsidRPr="00BC53A4" w:rsidRDefault="00E7425A" w:rsidP="009D13EE">
            <w:pPr>
              <w:pStyle w:val="Paragraphedeliste"/>
              <w:ind w:hanging="256"/>
              <w:jc w:val="both"/>
              <w:rPr>
                <w:rFonts w:asciiTheme="minorHAnsi" w:hAnsiTheme="minorHAnsi" w:cstheme="minorHAnsi"/>
                <w:sz w:val="22"/>
              </w:rPr>
            </w:pPr>
            <w:r w:rsidRPr="00BC53A4">
              <w:rPr>
                <w:rFonts w:asciiTheme="minorHAnsi" w:hAnsiTheme="minorHAnsi" w:cstheme="minorHAnsi"/>
                <w:sz w:val="22"/>
              </w:rPr>
              <w:t xml:space="preserve">La collectivité décide de </w:t>
            </w:r>
            <w:r w:rsidRPr="00BC53A4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(au choix – à cocher) :</w:t>
            </w:r>
          </w:p>
          <w:p w:rsidR="00E7425A" w:rsidRPr="00BC53A4" w:rsidRDefault="00E7425A" w:rsidP="009D13EE">
            <w:pPr>
              <w:ind w:firstLine="595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E7425A" w:rsidRPr="00BC53A4" w:rsidRDefault="00E7425A" w:rsidP="009D13EE">
            <w:pPr>
              <w:ind w:left="6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7F"/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 pas établir de critères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7425A" w:rsidRPr="00BC53A4" w:rsidRDefault="00E7425A" w:rsidP="009D13EE">
            <w:pPr>
              <w:ind w:firstLine="59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Ou</w:t>
            </w:r>
          </w:p>
          <w:p w:rsidR="00E7425A" w:rsidRPr="00BC53A4" w:rsidRDefault="00E7425A" w:rsidP="009D13EE">
            <w:pPr>
              <w:ind w:left="617" w:hanging="1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7F"/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d’appliquer des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>critères de dépôt des dossiers de promotion interne avant envoi au CDG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74B18"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et de </w:t>
            </w:r>
            <w:r w:rsidR="00874B18"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>prendre en compte</w:t>
            </w:r>
            <w:r w:rsidR="00874B18"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3A4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</w:rPr>
              <w:t xml:space="preserve">(supprimer les critères non retenus) 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l’obtention d’un examen professionnel, le cas échéant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l’effort de l’agent qui a présent</w:t>
            </w:r>
            <w:r w:rsidR="000C5CF7" w:rsidRPr="00BC53A4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 le concours</w:t>
            </w:r>
          </w:p>
          <w:p w:rsidR="000C5CF7" w:rsidRPr="00BC53A4" w:rsidRDefault="000C5CF7" w:rsidP="000C5CF7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les efforts de formation et/ou de préparation aux concours et examens professionnels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□ l’ancienneté dans la collectivité 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l’expérience acquise et la valeur professionnelle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l’investissement et la motivation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□ l’adéquation grade et fonctions </w:t>
            </w:r>
          </w:p>
          <w:p w:rsidR="00E7425A" w:rsidRPr="00BC53A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les compétences (acquises dans le secteur public/privé, associatif, syndical, mandat électif)</w:t>
            </w:r>
          </w:p>
          <w:p w:rsidR="00E7425A" w:rsidRPr="00025FB4" w:rsidRDefault="00E7425A" w:rsidP="009D13EE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les promotions et/ou avancements déjà prononcés en faveur d</w:t>
            </w:r>
            <w:r w:rsidR="000C5CF7" w:rsidRPr="00BC53A4">
              <w:rPr>
                <w:rFonts w:asciiTheme="minorHAnsi" w:hAnsiTheme="minorHAnsi" w:cstheme="minorHAnsi"/>
                <w:sz w:val="22"/>
                <w:szCs w:val="22"/>
              </w:rPr>
              <w:t>e l’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agent</w:t>
            </w:r>
          </w:p>
          <w:p w:rsidR="00E7425A" w:rsidRPr="00757F62" w:rsidRDefault="00E7425A" w:rsidP="000C5CF7">
            <w:pPr>
              <w:ind w:left="10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4B18" w:rsidRPr="00874B18" w:rsidRDefault="00874B18" w:rsidP="00874B18">
      <w:pPr>
        <w:pStyle w:val="Paragraphedeliste"/>
        <w:spacing w:after="0" w:line="240" w:lineRule="auto"/>
        <w:ind w:right="142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7425A" w:rsidRPr="00F257C8" w:rsidRDefault="00E7425A" w:rsidP="00874B18">
      <w:pPr>
        <w:pStyle w:val="Paragraphedeliste"/>
        <w:numPr>
          <w:ilvl w:val="0"/>
          <w:numId w:val="35"/>
        </w:numPr>
        <w:spacing w:after="0" w:line="240" w:lineRule="auto"/>
        <w:ind w:right="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F4FBB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lastRenderedPageBreak/>
        <w:t xml:space="preserve">Les orientations générales en matière de </w:t>
      </w:r>
      <w: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valorisation des parcours professionnels</w:t>
      </w:r>
      <w:r w:rsidRPr="00EF4FBB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 </w:t>
      </w:r>
      <w:r w:rsidRPr="000432AD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(à adapter selon les collectivités)</w:t>
      </w:r>
    </w:p>
    <w:p w:rsidR="00E7425A" w:rsidRDefault="00E7425A" w:rsidP="00E7425A">
      <w:pPr>
        <w:spacing w:after="0" w:line="240" w:lineRule="auto"/>
        <w:ind w:left="142" w:right="-425" w:firstLine="21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1FAD">
        <w:rPr>
          <w:rFonts w:asciiTheme="minorHAnsi" w:hAnsiTheme="minorHAnsi" w:cstheme="minorHAnsi"/>
          <w:sz w:val="22"/>
          <w:szCs w:val="22"/>
        </w:rPr>
        <w:t xml:space="preserve">Il s’agit des mesures </w:t>
      </w:r>
      <w:r w:rsidRPr="00FE1FAD">
        <w:rPr>
          <w:rFonts w:asciiTheme="minorHAnsi" w:hAnsiTheme="minorHAnsi" w:cstheme="minorHAnsi"/>
          <w:b/>
          <w:sz w:val="22"/>
          <w:szCs w:val="22"/>
        </w:rPr>
        <w:t>favorisant l'évolution professionnelle</w:t>
      </w:r>
      <w:r w:rsidRPr="00FE1FAD">
        <w:rPr>
          <w:rFonts w:asciiTheme="minorHAnsi" w:hAnsiTheme="minorHAnsi" w:cstheme="minorHAnsi"/>
          <w:sz w:val="22"/>
          <w:szCs w:val="22"/>
        </w:rPr>
        <w:t xml:space="preserve"> des agents et leur </w:t>
      </w:r>
      <w:r w:rsidRPr="00FE1FAD">
        <w:rPr>
          <w:rFonts w:asciiTheme="minorHAnsi" w:hAnsiTheme="minorHAnsi" w:cstheme="minorHAnsi"/>
          <w:b/>
          <w:sz w:val="22"/>
          <w:szCs w:val="22"/>
        </w:rPr>
        <w:t>accès à des responsabilités supérieures.</w:t>
      </w:r>
    </w:p>
    <w:p w:rsidR="00E7425A" w:rsidRPr="000C5CF7" w:rsidRDefault="00E7425A" w:rsidP="00E7425A">
      <w:pPr>
        <w:spacing w:after="0" w:line="240" w:lineRule="auto"/>
        <w:ind w:left="142" w:right="-425" w:firstLine="215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Grilledutableau"/>
        <w:tblW w:w="10815" w:type="dxa"/>
        <w:tblInd w:w="-606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0815"/>
      </w:tblGrid>
      <w:tr w:rsidR="00E7425A" w:rsidRPr="00757F62" w:rsidTr="009D13EE">
        <w:trPr>
          <w:trHeight w:val="175"/>
        </w:trPr>
        <w:tc>
          <w:tcPr>
            <w:tcW w:w="10815" w:type="dxa"/>
            <w:shd w:val="clear" w:color="auto" w:fill="auto"/>
            <w:vAlign w:val="center"/>
          </w:tcPr>
          <w:p w:rsidR="00E7425A" w:rsidRPr="007327A0" w:rsidRDefault="00E7425A" w:rsidP="00E7425A">
            <w:pPr>
              <w:pStyle w:val="Corpsdetexte"/>
              <w:numPr>
                <w:ilvl w:val="0"/>
                <w:numId w:val="25"/>
              </w:numPr>
              <w:ind w:left="1495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Accompagnement des agents par la collectivité pour passer des concours et examens professionnels </w:t>
            </w:r>
          </w:p>
        </w:tc>
      </w:tr>
      <w:tr w:rsidR="00E7425A" w:rsidRPr="00757F62" w:rsidTr="009D13EE">
        <w:trPr>
          <w:trHeight w:val="175"/>
        </w:trPr>
        <w:tc>
          <w:tcPr>
            <w:tcW w:w="10815" w:type="dxa"/>
            <w:shd w:val="clear" w:color="auto" w:fill="F2F2F2" w:themeFill="background1" w:themeFillShade="F2"/>
          </w:tcPr>
          <w:p w:rsidR="00E7425A" w:rsidRPr="00BC53A4" w:rsidRDefault="00E7425A" w:rsidP="009D13EE">
            <w:pPr>
              <w:pStyle w:val="Corpsdetexte"/>
              <w:ind w:left="851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E7425A" w:rsidRPr="00BC53A4" w:rsidRDefault="00E7425A" w:rsidP="009D13EE">
            <w:pPr>
              <w:pStyle w:val="Paragraphedeliste"/>
              <w:ind w:hanging="256"/>
              <w:jc w:val="both"/>
              <w:rPr>
                <w:rFonts w:asciiTheme="minorHAnsi" w:hAnsiTheme="minorHAnsi" w:cstheme="minorHAnsi"/>
                <w:sz w:val="22"/>
              </w:rPr>
            </w:pPr>
            <w:r w:rsidRPr="00BC53A4">
              <w:rPr>
                <w:rFonts w:asciiTheme="minorHAnsi" w:hAnsiTheme="minorHAnsi" w:cstheme="minorHAnsi"/>
                <w:sz w:val="22"/>
              </w:rPr>
              <w:t xml:space="preserve">La collectivité décide de </w:t>
            </w:r>
            <w:r w:rsidRPr="00BC53A4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(au choix – à cocher) :</w:t>
            </w:r>
          </w:p>
          <w:p w:rsidR="00E7425A" w:rsidRPr="00BC53A4" w:rsidRDefault="00E7425A" w:rsidP="009D13EE">
            <w:pPr>
              <w:ind w:firstLine="59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7425A" w:rsidRPr="00BC53A4" w:rsidRDefault="00E7425A" w:rsidP="009D13EE">
            <w:pPr>
              <w:ind w:left="6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7F"/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 pas établir de critères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7425A" w:rsidRPr="00BC53A4" w:rsidRDefault="00E7425A" w:rsidP="009D13EE">
            <w:pPr>
              <w:ind w:firstLine="59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Ou</w:t>
            </w:r>
          </w:p>
          <w:p w:rsidR="00E7425A" w:rsidRPr="00BC53A4" w:rsidRDefault="00E7425A" w:rsidP="009D13EE">
            <w:pPr>
              <w:ind w:left="617" w:hanging="1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7F"/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d’appliquer des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>critères</w:t>
            </w:r>
            <w:r w:rsidR="00A76D58"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>/mesures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pour l’accompagnement des agents par la collectivité pour passer des concours et examens professionnels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C53A4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</w:rPr>
              <w:t xml:space="preserve">(supprimer les critères non retenus) 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E7425A" w:rsidRPr="00BC53A4" w:rsidRDefault="00E7425A" w:rsidP="009D13EE">
            <w:pPr>
              <w:pStyle w:val="Corpsdetexte"/>
              <w:ind w:left="851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E7425A" w:rsidRPr="00BC53A4" w:rsidRDefault="00E7425A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Communiquer sur les dispositifs de préparation aux concours et examens professionnels</w:t>
            </w:r>
          </w:p>
          <w:p w:rsidR="00E7425A" w:rsidRPr="00BC53A4" w:rsidRDefault="00E7425A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Fixer les règles de la collectivité pour accéder aux préparations  aux concours et examens professionnels</w:t>
            </w:r>
          </w:p>
          <w:p w:rsidR="00E7425A" w:rsidRPr="00BC53A4" w:rsidRDefault="000C5CF7" w:rsidP="009D13EE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C53A4">
              <w:rPr>
                <w:rFonts w:asciiTheme="minorHAnsi" w:hAnsiTheme="minorHAnsi" w:cstheme="minorHAnsi"/>
                <w:sz w:val="22"/>
              </w:rPr>
              <w:t>Délai</w:t>
            </w:r>
            <w:r w:rsidR="00E7425A" w:rsidRPr="00BC53A4">
              <w:rPr>
                <w:rFonts w:asciiTheme="minorHAnsi" w:hAnsiTheme="minorHAnsi" w:cstheme="minorHAnsi"/>
                <w:sz w:val="22"/>
              </w:rPr>
              <w:t xml:space="preserve"> éventuel entre 2 préparations</w:t>
            </w:r>
          </w:p>
          <w:p w:rsidR="00E7425A" w:rsidRPr="00BC53A4" w:rsidRDefault="00E7425A" w:rsidP="009D13EE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A4">
              <w:rPr>
                <w:rFonts w:asciiTheme="minorHAnsi" w:hAnsiTheme="minorHAnsi" w:cstheme="minorHAnsi"/>
                <w:sz w:val="22"/>
              </w:rPr>
              <w:t>Lien entre le concours ou l’examen professionnel et les besoins de la collectivité</w:t>
            </w:r>
          </w:p>
          <w:p w:rsidR="00E7425A" w:rsidRPr="00BC53A4" w:rsidRDefault="00E7425A" w:rsidP="009D13EE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A4">
              <w:rPr>
                <w:rFonts w:asciiTheme="minorHAnsi" w:hAnsiTheme="minorHAnsi" w:cstheme="minorHAnsi"/>
                <w:sz w:val="22"/>
              </w:rPr>
              <w:t>Lien entre le concours ou l’examen professionnel et le projet professionnel de l’agent</w:t>
            </w:r>
          </w:p>
          <w:p w:rsidR="00E7425A" w:rsidRPr="00BC53A4" w:rsidRDefault="00E7425A" w:rsidP="00B30523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3A4">
              <w:rPr>
                <w:rFonts w:asciiTheme="minorHAnsi" w:hAnsiTheme="minorHAnsi" w:cstheme="minorHAnsi"/>
                <w:sz w:val="22"/>
              </w:rPr>
              <w:t>Prise en compte de l’investissement et la motivation de l’agent</w:t>
            </w:r>
          </w:p>
          <w:p w:rsidR="00233C29" w:rsidRPr="00BC53A4" w:rsidRDefault="00233C29" w:rsidP="00233C29">
            <w:pPr>
              <w:pStyle w:val="Paragraphedeliste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7425A" w:rsidRPr="00757F62" w:rsidTr="009D13EE">
        <w:trPr>
          <w:trHeight w:val="358"/>
        </w:trPr>
        <w:tc>
          <w:tcPr>
            <w:tcW w:w="10815" w:type="dxa"/>
            <w:shd w:val="clear" w:color="auto" w:fill="auto"/>
            <w:vAlign w:val="center"/>
          </w:tcPr>
          <w:p w:rsidR="00E7425A" w:rsidRPr="00BC53A4" w:rsidRDefault="00E7425A" w:rsidP="00E7425A">
            <w:pPr>
              <w:pStyle w:val="Paragraphedeliste"/>
              <w:numPr>
                <w:ilvl w:val="0"/>
                <w:numId w:val="25"/>
              </w:numPr>
              <w:ind w:left="149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3A4">
              <w:rPr>
                <w:rFonts w:asciiTheme="minorHAnsi" w:hAnsiTheme="minorHAnsi" w:cstheme="minorHAnsi"/>
                <w:b/>
                <w:sz w:val="28"/>
                <w:szCs w:val="28"/>
              </w:rPr>
              <w:t>Critères favorisant la nomination suite à la réussite à un concours</w:t>
            </w:r>
            <w:r w:rsidRPr="00BC53A4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</w:rPr>
              <w:t xml:space="preserve"> </w:t>
            </w:r>
          </w:p>
        </w:tc>
      </w:tr>
      <w:tr w:rsidR="00E7425A" w:rsidRPr="00757F62" w:rsidTr="009D13EE">
        <w:trPr>
          <w:trHeight w:val="358"/>
        </w:trPr>
        <w:tc>
          <w:tcPr>
            <w:tcW w:w="10815" w:type="dxa"/>
            <w:shd w:val="clear" w:color="auto" w:fill="F2F2F2" w:themeFill="background1" w:themeFillShade="F2"/>
            <w:vAlign w:val="center"/>
          </w:tcPr>
          <w:p w:rsidR="00E7425A" w:rsidRPr="00BC53A4" w:rsidRDefault="00E7425A" w:rsidP="009D13EE">
            <w:pPr>
              <w:pStyle w:val="Corpsdetexte"/>
              <w:ind w:left="1211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E7425A" w:rsidRPr="00BC53A4" w:rsidRDefault="00E7425A" w:rsidP="009D13EE">
            <w:pPr>
              <w:pStyle w:val="Paragraphedeliste"/>
              <w:ind w:hanging="256"/>
              <w:jc w:val="both"/>
              <w:rPr>
                <w:rFonts w:asciiTheme="minorHAnsi" w:hAnsiTheme="minorHAnsi" w:cstheme="minorHAnsi"/>
                <w:sz w:val="22"/>
              </w:rPr>
            </w:pPr>
            <w:r w:rsidRPr="00BC53A4">
              <w:rPr>
                <w:rFonts w:asciiTheme="minorHAnsi" w:hAnsiTheme="minorHAnsi" w:cstheme="minorHAnsi"/>
                <w:sz w:val="22"/>
              </w:rPr>
              <w:t xml:space="preserve">La collectivité décide de </w:t>
            </w:r>
            <w:r w:rsidRPr="00BC53A4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(au choix – à cocher) :</w:t>
            </w:r>
          </w:p>
          <w:p w:rsidR="00E7425A" w:rsidRPr="00BC53A4" w:rsidRDefault="00E7425A" w:rsidP="009D13EE">
            <w:pPr>
              <w:ind w:firstLine="59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7425A" w:rsidRPr="00BC53A4" w:rsidRDefault="00E7425A" w:rsidP="009D13EE">
            <w:pPr>
              <w:ind w:left="6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7F"/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 pas établir de critères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7425A" w:rsidRPr="00BC53A4" w:rsidRDefault="00E7425A" w:rsidP="009D13EE">
            <w:pPr>
              <w:ind w:firstLine="59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Ou</w:t>
            </w:r>
          </w:p>
          <w:p w:rsidR="00E7425A" w:rsidRPr="00BC53A4" w:rsidRDefault="00E7425A" w:rsidP="009D13EE">
            <w:pPr>
              <w:ind w:left="617" w:hanging="1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7F"/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d’appliquer des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>critères pour la nomination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>suite à la réussite à un concours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3A4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</w:rPr>
              <w:t xml:space="preserve">(supprimer les critères non retenus) </w:t>
            </w:r>
            <w:r w:rsidRPr="00BC53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E7425A" w:rsidRPr="00BC53A4" w:rsidRDefault="00E7425A" w:rsidP="009D13EE">
            <w:pPr>
              <w:pStyle w:val="Corpsdetexte"/>
              <w:ind w:left="851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E7425A" w:rsidRPr="00BC53A4" w:rsidRDefault="000C5CF7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□ Mettre en </w:t>
            </w:r>
            <w:r w:rsidR="00E7425A"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adéquation 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="00E7425A"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grade et 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r w:rsidR="00E7425A"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fonctions </w:t>
            </w:r>
          </w:p>
          <w:p w:rsidR="00E7425A" w:rsidRPr="00BC53A4" w:rsidRDefault="00E7425A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□ Prendre en compte l’effort de </w:t>
            </w:r>
            <w:r w:rsidR="000C5CF7" w:rsidRPr="00BC53A4">
              <w:rPr>
                <w:rFonts w:asciiTheme="minorHAnsi" w:hAnsiTheme="minorHAnsi" w:cstheme="minorHAnsi"/>
                <w:sz w:val="22"/>
                <w:szCs w:val="22"/>
              </w:rPr>
              <w:t>formation suivie et/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ou préparation au concours/examen professionnel</w:t>
            </w:r>
          </w:p>
          <w:p w:rsidR="00E7425A" w:rsidRPr="00BC53A4" w:rsidRDefault="00E7425A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0C5CF7" w:rsidRPr="00BC53A4">
              <w:rPr>
                <w:rFonts w:asciiTheme="minorHAnsi" w:hAnsiTheme="minorHAnsi" w:cstheme="minorHAnsi"/>
                <w:sz w:val="22"/>
                <w:szCs w:val="22"/>
              </w:rPr>
              <w:t>Prendre en compte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 l’investissement et la motivation</w:t>
            </w:r>
          </w:p>
          <w:p w:rsidR="00E7425A" w:rsidRPr="00BC53A4" w:rsidRDefault="00E7425A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Prendre en compte les compétences (acquises dans le secteur public/privé, associatif, syndical, mandat électif)</w:t>
            </w:r>
          </w:p>
          <w:p w:rsidR="00233C29" w:rsidRPr="00BC53A4" w:rsidRDefault="00E7425A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Prendre en compte le besoin de la collectivité en termes d’emploi</w:t>
            </w:r>
          </w:p>
          <w:p w:rsidR="00233C29" w:rsidRPr="00BC53A4" w:rsidRDefault="00233C29" w:rsidP="009D13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7425A" w:rsidRPr="00757F62" w:rsidTr="009D13EE">
        <w:trPr>
          <w:trHeight w:val="358"/>
        </w:trPr>
        <w:tc>
          <w:tcPr>
            <w:tcW w:w="10815" w:type="dxa"/>
            <w:shd w:val="clear" w:color="auto" w:fill="auto"/>
            <w:vAlign w:val="center"/>
          </w:tcPr>
          <w:p w:rsidR="00E7425A" w:rsidRPr="002F4F7B" w:rsidRDefault="00E7425A" w:rsidP="00E7425A">
            <w:pPr>
              <w:pStyle w:val="Corpsdetexte"/>
              <w:numPr>
                <w:ilvl w:val="0"/>
                <w:numId w:val="25"/>
              </w:numPr>
              <w:ind w:left="149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Mesures favorisant l’accès à des fonctions supérieures </w:t>
            </w:r>
          </w:p>
        </w:tc>
      </w:tr>
      <w:tr w:rsidR="00E7425A" w:rsidRPr="00757F62" w:rsidTr="009D13EE">
        <w:trPr>
          <w:trHeight w:val="358"/>
        </w:trPr>
        <w:tc>
          <w:tcPr>
            <w:tcW w:w="10815" w:type="dxa"/>
            <w:shd w:val="clear" w:color="auto" w:fill="F2F2F2" w:themeFill="background1" w:themeFillShade="F2"/>
            <w:vAlign w:val="center"/>
          </w:tcPr>
          <w:p w:rsidR="00E7425A" w:rsidRPr="004B6A1C" w:rsidRDefault="00E7425A" w:rsidP="009D13EE">
            <w:pPr>
              <w:pStyle w:val="Paragraphedeliste"/>
              <w:ind w:hanging="256"/>
              <w:jc w:val="both"/>
              <w:rPr>
                <w:rFonts w:asciiTheme="minorHAnsi" w:hAnsiTheme="minorHAnsi" w:cstheme="minorHAnsi"/>
                <w:sz w:val="22"/>
              </w:rPr>
            </w:pPr>
            <w:r w:rsidRPr="004B6A1C">
              <w:rPr>
                <w:rFonts w:asciiTheme="minorHAnsi" w:hAnsiTheme="minorHAnsi" w:cstheme="minorHAnsi"/>
                <w:sz w:val="22"/>
              </w:rPr>
              <w:t xml:space="preserve">La collectivité décide de </w:t>
            </w:r>
            <w:r w:rsidRPr="00377A4B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(au choix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– à cocher</w:t>
            </w:r>
            <w:r w:rsidRPr="00377A4B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) :</w:t>
            </w:r>
          </w:p>
          <w:p w:rsidR="00E7425A" w:rsidRPr="004B6A1C" w:rsidRDefault="00E7425A" w:rsidP="009D13EE">
            <w:pPr>
              <w:ind w:firstLine="59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7425A" w:rsidRPr="006B64C9" w:rsidRDefault="00E7425A" w:rsidP="009D13EE">
            <w:pPr>
              <w:ind w:left="6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4C9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7F"/>
            </w:r>
            <w:r w:rsidRPr="006B64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B64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 pas établir de critères</w:t>
            </w:r>
            <w:r w:rsidRPr="006B64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7425A" w:rsidRPr="006B64C9" w:rsidRDefault="00E7425A" w:rsidP="009D13EE">
            <w:pPr>
              <w:ind w:firstLine="59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B64C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Ou</w:t>
            </w:r>
          </w:p>
          <w:p w:rsidR="00E7425A" w:rsidRDefault="00E7425A" w:rsidP="009D13EE">
            <w:pPr>
              <w:ind w:left="617" w:hanging="1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12F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7F"/>
            </w:r>
            <w:r w:rsidRPr="00B561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d’appliquer des</w:t>
            </w:r>
            <w:r w:rsidRPr="00B561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critères pour l’accès à des fonctions supérieures</w:t>
            </w:r>
            <w:r w:rsidRPr="00B561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432AD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</w:rPr>
              <w:t xml:space="preserve">(supprimer </w:t>
            </w:r>
            <w: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</w:rPr>
              <w:t>les critères</w:t>
            </w:r>
            <w:r w:rsidRPr="000432AD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</w:rPr>
              <w:t xml:space="preserve"> non retenus)</w:t>
            </w:r>
            <w: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</w:rPr>
              <w:t xml:space="preserve"> </w:t>
            </w:r>
            <w:r w:rsidRPr="000432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0C5CF7" w:rsidRPr="000C5CF7" w:rsidRDefault="000C5CF7" w:rsidP="009D13EE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7425A" w:rsidRPr="00BC53A4" w:rsidRDefault="00E7425A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707B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E8E">
              <w:rPr>
                <w:rFonts w:asciiTheme="minorHAnsi" w:hAnsiTheme="minorHAnsi" w:cstheme="minorHAnsi"/>
                <w:sz w:val="22"/>
                <w:szCs w:val="22"/>
              </w:rPr>
              <w:t xml:space="preserve">Favoriser </w:t>
            </w: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la mobilité interne</w:t>
            </w:r>
          </w:p>
          <w:p w:rsidR="000C5CF7" w:rsidRPr="00BC53A4" w:rsidRDefault="00E7425A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Prendre en compte l’expérience réussie sur le poste occupé par l’agent</w:t>
            </w:r>
          </w:p>
          <w:p w:rsidR="00E7425A" w:rsidRPr="00BC53A4" w:rsidRDefault="000C5CF7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Prendre en compte</w:t>
            </w:r>
            <w:r w:rsidR="00E7425A" w:rsidRPr="00BC53A4">
              <w:rPr>
                <w:rFonts w:asciiTheme="minorHAnsi" w:hAnsiTheme="minorHAnsi" w:cstheme="minorHAnsi"/>
                <w:sz w:val="22"/>
                <w:szCs w:val="22"/>
              </w:rPr>
              <w:t xml:space="preserve"> le remplacement d’un supérieur</w:t>
            </w:r>
          </w:p>
          <w:p w:rsidR="00E7425A" w:rsidRPr="00BC53A4" w:rsidRDefault="00E7425A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Capacité de l’agent à encadrer et à former des agents (tutorat, maître d’apprentissage…)</w:t>
            </w:r>
          </w:p>
          <w:p w:rsidR="00E7425A" w:rsidRPr="00BC53A4" w:rsidRDefault="00E7425A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Prendre en compte l’effort de l’agent à se former</w:t>
            </w:r>
          </w:p>
          <w:p w:rsidR="00233C29" w:rsidRPr="00BC53A4" w:rsidRDefault="00233C29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Prendre en compte la réussite à un examen professionnel ou à un concours</w:t>
            </w:r>
          </w:p>
          <w:p w:rsidR="00E7425A" w:rsidRPr="00A10E8E" w:rsidRDefault="00E7425A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3A4">
              <w:rPr>
                <w:rFonts w:asciiTheme="minorHAnsi" w:hAnsiTheme="minorHAnsi" w:cstheme="minorHAnsi"/>
                <w:sz w:val="22"/>
                <w:szCs w:val="22"/>
              </w:rPr>
              <w:t>□ Prendre en compte les acquis de l’expérience : mobilités, responsabilités syndicales</w:t>
            </w:r>
            <w:r w:rsidRPr="00A10E8E">
              <w:rPr>
                <w:rFonts w:asciiTheme="minorHAnsi" w:hAnsiTheme="minorHAnsi" w:cstheme="minorHAnsi"/>
                <w:sz w:val="22"/>
                <w:szCs w:val="22"/>
              </w:rPr>
              <w:t>, associatives, responsabilités hors champ professionnel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mandat électif</w:t>
            </w:r>
          </w:p>
          <w:p w:rsidR="00E7425A" w:rsidRDefault="00E7425A" w:rsidP="009D13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E8E">
              <w:rPr>
                <w:rFonts w:asciiTheme="minorHAnsi" w:hAnsiTheme="minorHAnsi" w:cstheme="minorHAnsi"/>
                <w:sz w:val="22"/>
                <w:szCs w:val="22"/>
              </w:rPr>
              <w:t>□ Prendre en compte la maîtrise du métier</w:t>
            </w:r>
          </w:p>
          <w:p w:rsidR="00233C29" w:rsidRPr="001E768F" w:rsidRDefault="00E7425A" w:rsidP="00233C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E8E">
              <w:rPr>
                <w:rFonts w:asciiTheme="minorHAnsi" w:hAnsiTheme="minorHAnsi" w:cstheme="minorHAnsi"/>
                <w:sz w:val="22"/>
                <w:szCs w:val="22"/>
              </w:rPr>
              <w:t>□ Prendre en compte les capacités d’autonomie et d’initiative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l’agent</w:t>
            </w:r>
          </w:p>
        </w:tc>
      </w:tr>
    </w:tbl>
    <w:p w:rsidR="00F708C8" w:rsidRDefault="00F708C8" w:rsidP="001E768F">
      <w:pPr>
        <w:tabs>
          <w:tab w:val="left" w:pos="183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F708C8" w:rsidSect="00EE7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62" w:rsidRDefault="00757F62" w:rsidP="00042CCE">
      <w:pPr>
        <w:spacing w:after="0" w:line="240" w:lineRule="auto"/>
      </w:pPr>
      <w:r>
        <w:separator/>
      </w:r>
    </w:p>
  </w:endnote>
  <w:endnote w:type="continuationSeparator" w:id="0">
    <w:p w:rsidR="00757F62" w:rsidRDefault="00757F62" w:rsidP="0004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09" w:rsidRDefault="007F2C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102231"/>
      <w:docPartObj>
        <w:docPartGallery w:val="Page Numbers (Bottom of Page)"/>
        <w:docPartUnique/>
      </w:docPartObj>
    </w:sdtPr>
    <w:sdtEndPr/>
    <w:sdtContent>
      <w:p w:rsidR="00294BCF" w:rsidRDefault="00294B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7BA">
          <w:rPr>
            <w:noProof/>
          </w:rPr>
          <w:t>1</w:t>
        </w:r>
        <w:r>
          <w:fldChar w:fldCharType="end"/>
        </w:r>
      </w:p>
    </w:sdtContent>
  </w:sdt>
  <w:p w:rsidR="00294BCF" w:rsidRDefault="00294BC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09" w:rsidRDefault="007F2C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62" w:rsidRDefault="00757F62" w:rsidP="00042CCE">
      <w:pPr>
        <w:spacing w:after="0" w:line="240" w:lineRule="auto"/>
      </w:pPr>
      <w:r>
        <w:separator/>
      </w:r>
    </w:p>
  </w:footnote>
  <w:footnote w:type="continuationSeparator" w:id="0">
    <w:p w:rsidR="00757F62" w:rsidRDefault="00757F62" w:rsidP="0004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2F" w:rsidRDefault="000737B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42" type="#_x0000_t136" style="position:absolute;margin-left:0;margin-top:0;width:520.8pt;height:148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2F" w:rsidRDefault="00AB7F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09" w:rsidRDefault="007F2C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EE0"/>
    <w:multiLevelType w:val="hybridMultilevel"/>
    <w:tmpl w:val="1C5AFA4A"/>
    <w:lvl w:ilvl="0" w:tplc="3E92E782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61A"/>
    <w:multiLevelType w:val="hybridMultilevel"/>
    <w:tmpl w:val="E65E382A"/>
    <w:lvl w:ilvl="0" w:tplc="4376982E">
      <w:start w:val="1"/>
      <w:numFmt w:val="bullet"/>
      <w:lvlText w:val="↘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327EF"/>
    <w:multiLevelType w:val="hybridMultilevel"/>
    <w:tmpl w:val="737604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4F66"/>
    <w:multiLevelType w:val="hybridMultilevel"/>
    <w:tmpl w:val="637AA642"/>
    <w:lvl w:ilvl="0" w:tplc="E876A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09AA"/>
    <w:multiLevelType w:val="hybridMultilevel"/>
    <w:tmpl w:val="218C755A"/>
    <w:lvl w:ilvl="0" w:tplc="78A854C8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color w:val="00206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2286F"/>
    <w:multiLevelType w:val="hybridMultilevel"/>
    <w:tmpl w:val="4448E742"/>
    <w:lvl w:ilvl="0" w:tplc="86BE90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E6BB8"/>
    <w:multiLevelType w:val="hybridMultilevel"/>
    <w:tmpl w:val="BF825A7C"/>
    <w:lvl w:ilvl="0" w:tplc="E876A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C2B4E"/>
    <w:multiLevelType w:val="hybridMultilevel"/>
    <w:tmpl w:val="6132490A"/>
    <w:lvl w:ilvl="0" w:tplc="2AC4FCCA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361"/>
    <w:multiLevelType w:val="hybridMultilevel"/>
    <w:tmpl w:val="14289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55015"/>
    <w:multiLevelType w:val="hybridMultilevel"/>
    <w:tmpl w:val="8C50812C"/>
    <w:lvl w:ilvl="0" w:tplc="FA58A1F4">
      <w:start w:val="1"/>
      <w:numFmt w:val="decimal"/>
      <w:lvlText w:val="%1-"/>
      <w:lvlJc w:val="left"/>
      <w:pPr>
        <w:ind w:left="1779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7AE7C83"/>
    <w:multiLevelType w:val="hybridMultilevel"/>
    <w:tmpl w:val="F0B29864"/>
    <w:lvl w:ilvl="0" w:tplc="2A72A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67E18"/>
    <w:multiLevelType w:val="hybridMultilevel"/>
    <w:tmpl w:val="DDA83592"/>
    <w:lvl w:ilvl="0" w:tplc="935E0FE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E62B0"/>
    <w:multiLevelType w:val="hybridMultilevel"/>
    <w:tmpl w:val="7F0C4DF4"/>
    <w:lvl w:ilvl="0" w:tplc="DC6A636C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568B5"/>
    <w:multiLevelType w:val="hybridMultilevel"/>
    <w:tmpl w:val="6960179A"/>
    <w:lvl w:ilvl="0" w:tplc="E0DA9974">
      <w:start w:val="2"/>
      <w:numFmt w:val="decimal"/>
      <w:lvlText w:val="%1-"/>
      <w:lvlJc w:val="left"/>
      <w:pPr>
        <w:ind w:left="1080" w:hanging="360"/>
      </w:pPr>
      <w:rPr>
        <w:rFonts w:hint="default"/>
        <w:color w:val="00206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53B92"/>
    <w:multiLevelType w:val="hybridMultilevel"/>
    <w:tmpl w:val="E7FC484A"/>
    <w:lvl w:ilvl="0" w:tplc="CE5C4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19E"/>
    <w:multiLevelType w:val="hybridMultilevel"/>
    <w:tmpl w:val="263AC75C"/>
    <w:lvl w:ilvl="0" w:tplc="EFE835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5078D"/>
    <w:multiLevelType w:val="hybridMultilevel"/>
    <w:tmpl w:val="A678DC88"/>
    <w:lvl w:ilvl="0" w:tplc="040C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7" w15:restartNumberingAfterBreak="0">
    <w:nsid w:val="4940675F"/>
    <w:multiLevelType w:val="hybridMultilevel"/>
    <w:tmpl w:val="04163232"/>
    <w:lvl w:ilvl="0" w:tplc="4376982E">
      <w:start w:val="1"/>
      <w:numFmt w:val="bullet"/>
      <w:lvlText w:val="↘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336737"/>
    <w:multiLevelType w:val="hybridMultilevel"/>
    <w:tmpl w:val="122A423E"/>
    <w:lvl w:ilvl="0" w:tplc="040C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9" w15:restartNumberingAfterBreak="0">
    <w:nsid w:val="569E2236"/>
    <w:multiLevelType w:val="hybridMultilevel"/>
    <w:tmpl w:val="3908793A"/>
    <w:lvl w:ilvl="0" w:tplc="F462FE6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7965F0C"/>
    <w:multiLevelType w:val="hybridMultilevel"/>
    <w:tmpl w:val="2B329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56D54"/>
    <w:multiLevelType w:val="hybridMultilevel"/>
    <w:tmpl w:val="15BACF2A"/>
    <w:lvl w:ilvl="0" w:tplc="4376982E">
      <w:start w:val="1"/>
      <w:numFmt w:val="bullet"/>
      <w:lvlText w:val="↘"/>
      <w:lvlJc w:val="left"/>
      <w:pPr>
        <w:ind w:left="21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2E95B1F"/>
    <w:multiLevelType w:val="multilevel"/>
    <w:tmpl w:val="0E62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A15C3"/>
    <w:multiLevelType w:val="hybridMultilevel"/>
    <w:tmpl w:val="0DF84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510B3"/>
    <w:multiLevelType w:val="hybridMultilevel"/>
    <w:tmpl w:val="C8DC440A"/>
    <w:lvl w:ilvl="0" w:tplc="02BAF6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03F28"/>
    <w:multiLevelType w:val="hybridMultilevel"/>
    <w:tmpl w:val="BF825A7C"/>
    <w:lvl w:ilvl="0" w:tplc="E876A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D3291"/>
    <w:multiLevelType w:val="hybridMultilevel"/>
    <w:tmpl w:val="4DC29F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6183"/>
    <w:multiLevelType w:val="hybridMultilevel"/>
    <w:tmpl w:val="ACC81560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78E4088D"/>
    <w:multiLevelType w:val="hybridMultilevel"/>
    <w:tmpl w:val="5EE28400"/>
    <w:lvl w:ilvl="0" w:tplc="4376982E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31914"/>
    <w:multiLevelType w:val="hybridMultilevel"/>
    <w:tmpl w:val="F2A66AC0"/>
    <w:lvl w:ilvl="0" w:tplc="B1D47D7A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730DE"/>
    <w:multiLevelType w:val="hybridMultilevel"/>
    <w:tmpl w:val="086A05E8"/>
    <w:lvl w:ilvl="0" w:tplc="965A8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35B5B"/>
    <w:multiLevelType w:val="hybridMultilevel"/>
    <w:tmpl w:val="F6FE146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FA0726A"/>
    <w:multiLevelType w:val="hybridMultilevel"/>
    <w:tmpl w:val="8716CA5E"/>
    <w:lvl w:ilvl="0" w:tplc="FD0A36F2">
      <w:start w:val="1"/>
      <w:numFmt w:val="decimal"/>
      <w:lvlText w:val="%1-"/>
      <w:lvlJc w:val="left"/>
      <w:pPr>
        <w:ind w:left="1211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30"/>
  </w:num>
  <w:num w:numId="5">
    <w:abstractNumId w:val="10"/>
  </w:num>
  <w:num w:numId="6">
    <w:abstractNumId w:val="7"/>
  </w:num>
  <w:num w:numId="7">
    <w:abstractNumId w:val="3"/>
  </w:num>
  <w:num w:numId="8">
    <w:abstractNumId w:val="24"/>
  </w:num>
  <w:num w:numId="9">
    <w:abstractNumId w:val="14"/>
  </w:num>
  <w:num w:numId="10">
    <w:abstractNumId w:val="28"/>
  </w:num>
  <w:num w:numId="11">
    <w:abstractNumId w:val="1"/>
  </w:num>
  <w:num w:numId="12">
    <w:abstractNumId w:val="17"/>
  </w:num>
  <w:num w:numId="13">
    <w:abstractNumId w:val="22"/>
  </w:num>
  <w:num w:numId="14">
    <w:abstractNumId w:val="0"/>
  </w:num>
  <w:num w:numId="15">
    <w:abstractNumId w:val="21"/>
  </w:num>
  <w:num w:numId="16">
    <w:abstractNumId w:val="11"/>
  </w:num>
  <w:num w:numId="17">
    <w:abstractNumId w:val="5"/>
  </w:num>
  <w:num w:numId="18">
    <w:abstractNumId w:val="29"/>
  </w:num>
  <w:num w:numId="19">
    <w:abstractNumId w:val="6"/>
  </w:num>
  <w:num w:numId="20">
    <w:abstractNumId w:val="5"/>
  </w:num>
  <w:num w:numId="21">
    <w:abstractNumId w:val="2"/>
  </w:num>
  <w:num w:numId="22">
    <w:abstractNumId w:val="4"/>
  </w:num>
  <w:num w:numId="23">
    <w:abstractNumId w:val="12"/>
  </w:num>
  <w:num w:numId="24">
    <w:abstractNumId w:val="25"/>
  </w:num>
  <w:num w:numId="25">
    <w:abstractNumId w:val="9"/>
  </w:num>
  <w:num w:numId="26">
    <w:abstractNumId w:val="26"/>
  </w:num>
  <w:num w:numId="27">
    <w:abstractNumId w:val="19"/>
  </w:num>
  <w:num w:numId="28">
    <w:abstractNumId w:val="32"/>
  </w:num>
  <w:num w:numId="29">
    <w:abstractNumId w:val="20"/>
  </w:num>
  <w:num w:numId="30">
    <w:abstractNumId w:val="23"/>
  </w:num>
  <w:num w:numId="31">
    <w:abstractNumId w:val="8"/>
  </w:num>
  <w:num w:numId="32">
    <w:abstractNumId w:val="18"/>
  </w:num>
  <w:num w:numId="33">
    <w:abstractNumId w:val="1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59"/>
    <w:rsid w:val="00015E39"/>
    <w:rsid w:val="00025FB4"/>
    <w:rsid w:val="00042CCE"/>
    <w:rsid w:val="000614DE"/>
    <w:rsid w:val="00067F8F"/>
    <w:rsid w:val="000737BA"/>
    <w:rsid w:val="000C5CF7"/>
    <w:rsid w:val="000C78A9"/>
    <w:rsid w:val="000E03BC"/>
    <w:rsid w:val="000F5B95"/>
    <w:rsid w:val="00106EAC"/>
    <w:rsid w:val="00122B00"/>
    <w:rsid w:val="00141F31"/>
    <w:rsid w:val="00163A19"/>
    <w:rsid w:val="00177544"/>
    <w:rsid w:val="001A01DA"/>
    <w:rsid w:val="001C5D1F"/>
    <w:rsid w:val="001E48B9"/>
    <w:rsid w:val="001E5D7F"/>
    <w:rsid w:val="001E768F"/>
    <w:rsid w:val="00224112"/>
    <w:rsid w:val="00230C86"/>
    <w:rsid w:val="00233C29"/>
    <w:rsid w:val="00235609"/>
    <w:rsid w:val="002559CC"/>
    <w:rsid w:val="002619B6"/>
    <w:rsid w:val="00281E0E"/>
    <w:rsid w:val="0029473F"/>
    <w:rsid w:val="00294BCF"/>
    <w:rsid w:val="002A7ABE"/>
    <w:rsid w:val="002C5A95"/>
    <w:rsid w:val="002E5292"/>
    <w:rsid w:val="00370DEC"/>
    <w:rsid w:val="0037172F"/>
    <w:rsid w:val="00377A4B"/>
    <w:rsid w:val="003C1F85"/>
    <w:rsid w:val="003C40B9"/>
    <w:rsid w:val="003D0220"/>
    <w:rsid w:val="003D577B"/>
    <w:rsid w:val="003E5755"/>
    <w:rsid w:val="003F0D84"/>
    <w:rsid w:val="0040424B"/>
    <w:rsid w:val="00425E0C"/>
    <w:rsid w:val="00431D5F"/>
    <w:rsid w:val="00482FF5"/>
    <w:rsid w:val="004B6A1C"/>
    <w:rsid w:val="004C357A"/>
    <w:rsid w:val="004E4A4C"/>
    <w:rsid w:val="00511A9F"/>
    <w:rsid w:val="005202C8"/>
    <w:rsid w:val="005227BC"/>
    <w:rsid w:val="0054751D"/>
    <w:rsid w:val="00590184"/>
    <w:rsid w:val="005A4390"/>
    <w:rsid w:val="005B6357"/>
    <w:rsid w:val="005C278E"/>
    <w:rsid w:val="005E5135"/>
    <w:rsid w:val="005E74CA"/>
    <w:rsid w:val="005F2F23"/>
    <w:rsid w:val="00630739"/>
    <w:rsid w:val="006459C7"/>
    <w:rsid w:val="006554F1"/>
    <w:rsid w:val="00656E61"/>
    <w:rsid w:val="00694C94"/>
    <w:rsid w:val="006B64C9"/>
    <w:rsid w:val="006E0284"/>
    <w:rsid w:val="006E414F"/>
    <w:rsid w:val="006F508F"/>
    <w:rsid w:val="006F6EB3"/>
    <w:rsid w:val="00741557"/>
    <w:rsid w:val="0075498E"/>
    <w:rsid w:val="00756CB3"/>
    <w:rsid w:val="00757F62"/>
    <w:rsid w:val="0077012B"/>
    <w:rsid w:val="00774E25"/>
    <w:rsid w:val="007963F7"/>
    <w:rsid w:val="007A0463"/>
    <w:rsid w:val="007B4C64"/>
    <w:rsid w:val="007F2C09"/>
    <w:rsid w:val="00811499"/>
    <w:rsid w:val="008116F6"/>
    <w:rsid w:val="008336B5"/>
    <w:rsid w:val="00833A59"/>
    <w:rsid w:val="00834596"/>
    <w:rsid w:val="008555BA"/>
    <w:rsid w:val="00874B18"/>
    <w:rsid w:val="008C38DC"/>
    <w:rsid w:val="008D0CD8"/>
    <w:rsid w:val="008E4537"/>
    <w:rsid w:val="008F67AE"/>
    <w:rsid w:val="0091232B"/>
    <w:rsid w:val="00923DB9"/>
    <w:rsid w:val="0094103D"/>
    <w:rsid w:val="00946D4B"/>
    <w:rsid w:val="00965906"/>
    <w:rsid w:val="00971DA9"/>
    <w:rsid w:val="009B0874"/>
    <w:rsid w:val="009B61A8"/>
    <w:rsid w:val="009C6709"/>
    <w:rsid w:val="009C7B0C"/>
    <w:rsid w:val="009E490E"/>
    <w:rsid w:val="009E493A"/>
    <w:rsid w:val="00A042A7"/>
    <w:rsid w:val="00A10E8E"/>
    <w:rsid w:val="00A16F83"/>
    <w:rsid w:val="00A42CCC"/>
    <w:rsid w:val="00A54E4B"/>
    <w:rsid w:val="00A76D58"/>
    <w:rsid w:val="00A8764F"/>
    <w:rsid w:val="00AA301B"/>
    <w:rsid w:val="00AB7F2F"/>
    <w:rsid w:val="00AC3FA7"/>
    <w:rsid w:val="00AE5D53"/>
    <w:rsid w:val="00B24402"/>
    <w:rsid w:val="00B30523"/>
    <w:rsid w:val="00B5612F"/>
    <w:rsid w:val="00BA2CB0"/>
    <w:rsid w:val="00BA4773"/>
    <w:rsid w:val="00BC53A4"/>
    <w:rsid w:val="00BF6F68"/>
    <w:rsid w:val="00BF73BC"/>
    <w:rsid w:val="00C11242"/>
    <w:rsid w:val="00C16B1D"/>
    <w:rsid w:val="00C200B6"/>
    <w:rsid w:val="00C3743E"/>
    <w:rsid w:val="00C5266C"/>
    <w:rsid w:val="00C533EB"/>
    <w:rsid w:val="00C97B4A"/>
    <w:rsid w:val="00CA416C"/>
    <w:rsid w:val="00CD4933"/>
    <w:rsid w:val="00D030FD"/>
    <w:rsid w:val="00D05769"/>
    <w:rsid w:val="00D51772"/>
    <w:rsid w:val="00D70328"/>
    <w:rsid w:val="00D74FDC"/>
    <w:rsid w:val="00DB4FAA"/>
    <w:rsid w:val="00DC2291"/>
    <w:rsid w:val="00E32879"/>
    <w:rsid w:val="00E35C84"/>
    <w:rsid w:val="00E71CB3"/>
    <w:rsid w:val="00E7425A"/>
    <w:rsid w:val="00E75B33"/>
    <w:rsid w:val="00E84DEB"/>
    <w:rsid w:val="00E8737C"/>
    <w:rsid w:val="00EA567B"/>
    <w:rsid w:val="00EC3BF6"/>
    <w:rsid w:val="00EE2C17"/>
    <w:rsid w:val="00EE78F3"/>
    <w:rsid w:val="00EF0604"/>
    <w:rsid w:val="00EF4FBB"/>
    <w:rsid w:val="00EF5104"/>
    <w:rsid w:val="00F036EF"/>
    <w:rsid w:val="00F06B7F"/>
    <w:rsid w:val="00F13574"/>
    <w:rsid w:val="00F16592"/>
    <w:rsid w:val="00F67A21"/>
    <w:rsid w:val="00F708C8"/>
    <w:rsid w:val="00FD707B"/>
    <w:rsid w:val="00FE1FAD"/>
    <w:rsid w:val="00FF4EBC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CB0B400D-C3C5-4175-BF2F-39D45F38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59"/>
    <w:pPr>
      <w:suppressAutoHyphens/>
    </w:pPr>
    <w:rPr>
      <w:rFonts w:eastAsia="Calibri" w:cs="Arial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A59"/>
    <w:pPr>
      <w:ind w:left="720"/>
    </w:pPr>
    <w:rPr>
      <w:rFonts w:cs="Times New Roman"/>
      <w:szCs w:val="22"/>
    </w:rPr>
  </w:style>
  <w:style w:type="paragraph" w:customStyle="1" w:styleId="Default">
    <w:name w:val="Default"/>
    <w:rsid w:val="00833A59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33A59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4CA"/>
    <w:rPr>
      <w:rFonts w:ascii="Tahoma" w:eastAsia="Calibri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425E0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CCE"/>
    <w:rPr>
      <w:rFonts w:eastAsia="Calibri" w:cs="Arial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4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CCE"/>
    <w:rPr>
      <w:rFonts w:eastAsia="Calibri" w:cs="Arial"/>
      <w:szCs w:val="20"/>
      <w:lang w:eastAsia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511A9F"/>
    <w:pPr>
      <w:suppressAutoHyphens w:val="0"/>
      <w:spacing w:after="0" w:line="240" w:lineRule="auto"/>
    </w:pPr>
    <w:rPr>
      <w:rFonts w:eastAsia="Times New Roman" w:cs="Times New Roman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11A9F"/>
    <w:rPr>
      <w:rFonts w:eastAsia="Times New Roman" w:cs="Times New Roman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1A9F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75B33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07-SectionTitreBleu">
    <w:name w:val="07 - Section Titre Bleu"/>
    <w:basedOn w:val="Normal"/>
    <w:qFormat/>
    <w:rsid w:val="00E75B33"/>
    <w:pPr>
      <w:widowControl w:val="0"/>
      <w:pBdr>
        <w:bottom w:val="single" w:sz="12" w:space="1" w:color="357A9B"/>
      </w:pBdr>
      <w:suppressAutoHyphens w:val="0"/>
      <w:autoSpaceDE w:val="0"/>
      <w:autoSpaceDN w:val="0"/>
      <w:adjustRightInd w:val="0"/>
      <w:spacing w:before="240" w:after="160" w:line="240" w:lineRule="auto"/>
      <w:contextualSpacing/>
      <w:jc w:val="both"/>
    </w:pPr>
    <w:rPr>
      <w:rFonts w:ascii="Calibri" w:eastAsia="Times New Roman" w:hAnsi="Calibri" w:cs="Calibri"/>
      <w:b/>
      <w:bCs/>
      <w:color w:val="357A9B"/>
      <w:kern w:val="2"/>
      <w:sz w:val="30"/>
      <w:szCs w:val="30"/>
      <w:lang w:eastAsia="en-US"/>
    </w:rPr>
  </w:style>
  <w:style w:type="table" w:customStyle="1" w:styleId="TableNormal">
    <w:name w:val="Table Normal"/>
    <w:uiPriority w:val="2"/>
    <w:semiHidden/>
    <w:qFormat/>
    <w:rsid w:val="00E75B3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unhideWhenUsed/>
    <w:qFormat/>
    <w:rsid w:val="004B6A1C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hAnsi="Calibri" w:cs="Calibr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B6A1C"/>
    <w:rPr>
      <w:rFonts w:ascii="Calibri" w:eastAsia="Calibri" w:hAnsi="Calibri" w:cs="Calibri"/>
      <w:szCs w:val="20"/>
    </w:rPr>
  </w:style>
  <w:style w:type="table" w:customStyle="1" w:styleId="TableNormal1">
    <w:name w:val="Table Normal1"/>
    <w:uiPriority w:val="2"/>
    <w:semiHidden/>
    <w:qFormat/>
    <w:rsid w:val="00A8764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20CD-0FB8-4FCD-B885-21A41400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Eléonore LEBLANC</dc:creator>
  <cp:lastModifiedBy>Magali LASSERENNE</cp:lastModifiedBy>
  <cp:revision>5</cp:revision>
  <cp:lastPrinted>2016-01-27T08:01:00Z</cp:lastPrinted>
  <dcterms:created xsi:type="dcterms:W3CDTF">2021-03-18T14:53:00Z</dcterms:created>
  <dcterms:modified xsi:type="dcterms:W3CDTF">2021-04-06T15:53:00Z</dcterms:modified>
</cp:coreProperties>
</file>